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Bdr>
          <w:top w:val="single" w:sz="12" w:space="4" w:color="C00000"/>
          <w:left w:val="single" w:sz="12" w:space="4" w:color="C00000"/>
          <w:bottom w:val="single" w:sz="12" w:space="4" w:color="C00000"/>
          <w:right w:val="single" w:sz="12" w:space="4" w:color="C00000"/>
        </w:pBdr>
        <w:shd w:val="clear" w:color="auto" w:fill="FDECEA"/>
        <w:spacing w:before="0" w:after="240"/>
        <w:jc w:val="both"/>
      </w:pPr>
      <w:r>
        <w:rPr>
          <w:rFonts w:ascii="Arial" w:hAnsi="Arial" w:cs="Arial"/>
          <w:b/>
          <w:color w:val="C00000"/>
          <w:sz w:val="20"/>
        </w:rPr>
        <w:t xml:space="preserve">SAMPLE DOCUMENT - ISO 9001:2026 Packaging Quality Toolkit (TK03) from ASC Food Safety Consultants. This is one of 202 documents in the toolkit, supplied free so you can see the standard of the work before you buy. It is a worked example for a food contact packaging site and is not licensed for use in a live management system. The full toolkit is at ascfoodsafety.com/fsms-templates</w:t>
      </w:r>
    </w:p>
    <w:p>
      <w:pPr>
        <w:autoSpaceDE w:val="0"/>
        <w:autoSpaceDN w:val="0"/>
        <w:adjustRightInd w:val="0"/>
        <w:spacing w:before="120" w:after="480"/>
        <w:jc w:val="center"/>
        <w:rPr>
          <w:rFonts w:ascii="Arial" w:hAnsi="Arial" w:cs="Arial"/>
          <w:b/>
          <w:bCs/>
          <w:sz w:val="36"/>
          <w:szCs w:val="36"/>
        </w:rPr>
      </w:pPr>
      <w:r>
        <w:rPr>
          <w:rFonts w:ascii="Arial" w:hAnsi="Arial" w:cs="Arial"/>
          <w:b/>
          <w:bCs/>
          <w:sz w:val="36"/>
          <w:szCs w:val="36"/>
        </w:rPr>
        <w:t xml:space="preserve">CLIMATE CHANGE RELEVANCE DETERMINATION</w:t>
      </w:r>
    </w:p>
    <w:p>
      <w:pPr>
        <w:spacing w:before="120" w:after="240"/>
        <w:jc w:val="both"/>
        <w:rPr>
          <w:rFonts w:ascii="Arial" w:hAnsi="Arial" w:cs="Arial"/>
          <w:sz w:val="22"/>
          <w:szCs w:val="22"/>
        </w:rPr>
      </w:pPr>
      <w:r>
        <w:rPr>
          <w:rFonts w:ascii="Arial" w:hAnsi="Arial" w:cs="Arial"/>
          <w:sz w:val="22"/>
          <w:szCs w:val="22"/>
        </w:rPr>
        <w:t xml:space="preserve">ISO 9001:2026 clause 4.1 requires the organization to determine whether climate change is a relevant issue. This form records that determination, the evidence considered, the conclusion for each pathway and where a relevant issue has been carried. A conclusion of 'not relevant' is a valid answer where it is reasoned and evidenced; leaving the question unanswered is not.</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5140" w:type="dxa"/>
      </w:tblPr>
      <w:tblGrid>
        <w:gridCol w:w="2725"/>
        <w:gridCol w:w="4239"/>
        <w:gridCol w:w="3028"/>
        <w:gridCol w:w="2574"/>
        <w:gridCol w:w="2574"/>
      </w:tblGrid>
      <w:tr>
        <w:trPr>
          <w:tblHeader/>
          <w:cantSplit/>
        </w:trPr>
        <w:tc>
          <w:tcPr>
            <w:tcW w:w="2725"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Form issue</w:t>
            </w:r>
          </w:p>
        </w:tc>
        <w:tc>
          <w:tcPr>
            <w:tcW w:w="4239"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Maintained by</w:t>
            </w:r>
          </w:p>
        </w:tc>
        <w:tc>
          <w:tcPr>
            <w:tcW w:w="3028"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Review frequency</w:t>
            </w:r>
          </w:p>
        </w:tc>
        <w:tc>
          <w:tcPr>
            <w:tcW w:w="2574"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Last review</w:t>
            </w:r>
          </w:p>
        </w:tc>
        <w:tc>
          <w:tcPr>
            <w:tcW w:w="2574"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Next review</w:t>
            </w:r>
          </w:p>
        </w:tc>
      </w:tr>
      <w:tr>
        <w:tc>
          <w:tcPr>
            <w:tcW w:w="2725" w:type="dxa"/>
            <w:vAlign w:val="center"/>
          </w:tcPr>
          <w:p>
            <w:pPr>
              <w:spacing w:before="30" w:after="30"/>
              <w:jc w:val="left"/>
              <w:rPr>
                <w:rFonts w:ascii="Arial" w:hAnsi="Arial" w:cs="Arial"/>
                <w:sz w:val="20"/>
                <w:szCs w:val="20"/>
              </w:rPr>
            </w:pPr>
            <w:r>
              <w:rPr>
                <w:rFonts w:ascii="Arial" w:hAnsi="Arial" w:cs="Arial"/>
                <w:sz w:val="20"/>
                <w:szCs w:val="20"/>
              </w:rPr>
              <w:t xml:space="preserve">01 Sep 2026</w:t>
            </w:r>
          </w:p>
        </w:tc>
        <w:tc>
          <w:tcPr>
            <w:tcW w:w="4239" w:type="dxa"/>
            <w:vAlign w:val="center"/>
          </w:tcPr>
          <w:p>
            <w:pPr>
              <w:spacing w:before="30" w:after="30"/>
              <w:jc w:val="left"/>
              <w:rPr>
                <w:rFonts w:ascii="Arial" w:hAnsi="Arial" w:cs="Arial"/>
                <w:sz w:val="20"/>
                <w:szCs w:val="20"/>
              </w:rPr>
            </w:pPr>
            <w:r>
              <w:rPr>
                <w:rFonts w:ascii="Arial" w:hAnsi="Arial" w:cs="Arial"/>
                <w:sz w:val="20"/>
                <w:szCs w:val="20"/>
              </w:rPr>
              <w:t xml:space="preserve">Quality Manager (QMR)</w:t>
            </w:r>
          </w:p>
        </w:tc>
        <w:tc>
          <w:tcPr>
            <w:tcW w:w="3028" w:type="dxa"/>
            <w:vAlign w:val="center"/>
          </w:tcPr>
          <w:p>
            <w:pPr>
              <w:spacing w:before="30" w:after="30"/>
              <w:jc w:val="left"/>
              <w:rPr>
                <w:rFonts w:ascii="Arial" w:hAnsi="Arial" w:cs="Arial"/>
                <w:sz w:val="20"/>
                <w:szCs w:val="20"/>
              </w:rPr>
            </w:pPr>
            <w:r>
              <w:rPr>
                <w:rFonts w:ascii="Arial" w:hAnsi="Arial" w:cs="Arial"/>
                <w:sz w:val="20"/>
                <w:szCs w:val="20"/>
              </w:rPr>
              <w:t xml:space="preserve">Annually and after a disruption</w:t>
            </w:r>
          </w:p>
        </w:tc>
        <w:tc>
          <w:tcPr>
            <w:tcW w:w="2574"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574" w:type="dxa"/>
            <w:vAlign w:val="center"/>
          </w:tcPr>
          <w:p>
            <w:pPr>
              <w:spacing w:before="30" w:after="30"/>
              <w:jc w:val="left"/>
              <w:rPr>
                <w:rFonts w:ascii="Arial" w:hAnsi="Arial" w:cs="Arial"/>
                <w:sz w:val="20"/>
                <w:szCs w:val="20"/>
              </w:rPr>
            </w:pPr>
            <w:r>
              <w:rPr>
                <w:rFonts w:ascii="Arial" w:hAnsi="Arial" w:cs="Arial"/>
                <w:sz w:val="20"/>
                <w:szCs w:val="20"/>
              </w:rPr>
              <w:t xml:space="preserve"/>
            </w:r>
          </w:p>
        </w:tc>
      </w:tr>
    </w:tbl>
    <w:p>
      <w:pPr>
        <w:spacing w:before="0" w:after="120"/>
      </w:pPr>
    </w:p>
    <w:p>
      <w:pPr>
        <w:spacing w:before="120" w:after="60"/>
        <w:jc w:val="both"/>
        <w:rPr>
          <w:rFonts w:ascii="Arial" w:hAnsi="Arial" w:cs="Arial"/>
          <w:b/>
          <w:bCs/>
          <w:sz w:val="22"/>
          <w:szCs w:val="22"/>
        </w:rPr>
      </w:pPr>
      <w:r>
        <w:rPr>
          <w:rFonts w:ascii="Arial" w:hAnsi="Arial" w:cs="Arial"/>
          <w:b/>
          <w:bCs/>
          <w:sz w:val="22"/>
          <w:szCs w:val="22"/>
        </w:rPr>
        <w:t xml:space="preserve">How to use this form</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Answer every pathway. Do not leave a row blank and do not answer only the pathways that are obviously relevant.</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State the evidence actually consulted - a log, a survey, a supplier statement, a met office data set - not a general belief.</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Where the answer is Yes, the issue must appear in RA 4.1, CF 6.1.1 or CF 6.1.2 before this form is signed.</w:t>
      </w:r>
    </w:p>
    <w:p>
      <w:pPr>
        <w:numPr>
          <w:ilvl w:val="0"/>
          <w:numId w:val="3"/>
        </w:numPr>
        <w:spacing w:before="120"/>
        <w:ind w:left="1134" w:hanging="425"/>
        <w:jc w:val="both"/>
        <w:rPr>
          <w:rFonts w:ascii="Arial" w:hAnsi="Arial" w:cs="Arial"/>
          <w:sz w:val="22"/>
          <w:szCs w:val="22"/>
        </w:rPr>
      </w:pPr>
      <w:r>
        <w:rPr>
          <w:rFonts w:ascii="Arial" w:hAnsi="Arial" w:cs="Arial"/>
          <w:sz w:val="22"/>
          <w:szCs w:val="22"/>
        </w:rPr>
        <w:t xml:space="preserve">Re-make the determination annually and after any climate-driven disruption to the site, a supplier or a customer.</w:t>
      </w:r>
    </w:p>
    <w:p>
      <w:pPr>
        <w:numPr>
          <w:ilvl w:val="0"/>
          <w:numId w:val="3"/>
        </w:numPr>
        <w:spacing w:before="120" w:after="240"/>
        <w:ind w:left="1134" w:hanging="425"/>
        <w:jc w:val="both"/>
        <w:rPr>
          <w:rFonts w:ascii="Arial" w:hAnsi="Arial" w:cs="Arial"/>
          <w:sz w:val="22"/>
          <w:szCs w:val="22"/>
        </w:rPr>
      </w:pPr>
      <w:r>
        <w:rPr>
          <w:rFonts w:ascii="Arial" w:hAnsi="Arial" w:cs="Arial"/>
          <w:sz w:val="22"/>
          <w:szCs w:val="22"/>
        </w:rPr>
        <w:t xml:space="preserve">This determination concerns the effect of climate change on the QMS and on product conformity. It is not an environmental management system and does not replace ISO 14001 arrangements.</w:t>
      </w:r>
    </w:p>
    <w:p>
      <w:pPr>
        <w:spacing w:before="120" w:after="240"/>
        <w:jc w:val="both"/>
        <w:rPr>
          <w:rFonts w:ascii="Arial" w:hAnsi="Arial" w:cs="Arial"/>
          <w:i/>
          <w:iCs/>
          <w:sz w:val="18"/>
          <w:szCs w:val="18"/>
        </w:rPr>
      </w:pPr>
      <w:r>
        <w:rPr>
          <w:rFonts w:ascii="Arial" w:hAnsi="Arial" w:cs="Arial"/>
          <w:i/>
          <w:iCs/>
          <w:sz w:val="18"/>
          <w:szCs w:val="18"/>
        </w:rPr>
        <w:t xml:space="preserve">Standing note on the worked entries: where this form carries worked example rows, they illustrate a later operating period than the form issue date shown in the control table. The blank form was issued on 01 Sep 2026; the worked data run from September 2026 onward. They show how the form is completed in use and are not records made before the form existed.</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5140" w:type="dxa"/>
      </w:tblPr>
      <w:tblGrid>
        <w:gridCol w:w="454"/>
        <w:gridCol w:w="1514"/>
        <w:gridCol w:w="2574"/>
        <w:gridCol w:w="3028"/>
        <w:gridCol w:w="908"/>
        <w:gridCol w:w="4088"/>
        <w:gridCol w:w="2574"/>
      </w:tblGrid>
      <w:tr>
        <w:trPr>
          <w:tblHeader/>
          <w:cantSplit/>
        </w:trPr>
        <w:tc>
          <w:tcPr>
            <w:tcW w:w="454"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w:t>
            </w:r>
          </w:p>
        </w:tc>
        <w:tc>
          <w:tcPr>
            <w:tcW w:w="1514"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Pathway</w:t>
            </w:r>
          </w:p>
        </w:tc>
        <w:tc>
          <w:tcPr>
            <w:tcW w:w="2574"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Question asked</w:t>
            </w:r>
          </w:p>
        </w:tc>
        <w:tc>
          <w:tcPr>
            <w:tcW w:w="3028"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Evidence considered</w:t>
            </w:r>
          </w:p>
        </w:tc>
        <w:tc>
          <w:tcPr>
            <w:tcW w:w="908"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Relevant?</w:t>
            </w:r>
          </w:p>
        </w:tc>
        <w:tc>
          <w:tcPr>
            <w:tcW w:w="4088"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Reasoned conclusion</w:t>
            </w:r>
          </w:p>
        </w:tc>
        <w:tc>
          <w:tcPr>
            <w:tcW w:w="2574"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Carried to</w:t>
            </w:r>
          </w:p>
        </w:tc>
      </w:tr>
      <w:tr>
        <w:tc>
          <w:tcPr>
            <w:tcW w:w="454" w:type="dxa"/>
            <w:vAlign w:val="center"/>
          </w:tcPr>
          <w:p>
            <w:pPr>
              <w:spacing w:before="30" w:after="30"/>
              <w:jc w:val="left"/>
              <w:rPr>
                <w:rFonts w:ascii="Arial" w:hAnsi="Arial" w:cs="Arial"/>
                <w:sz w:val="18"/>
                <w:szCs w:val="18"/>
              </w:rPr>
            </w:pPr>
            <w:r>
              <w:rPr>
                <w:rFonts w:ascii="Arial" w:hAnsi="Arial" w:cs="Arial"/>
                <w:sz w:val="18"/>
                <w:szCs w:val="18"/>
              </w:rPr>
              <w:t xml:space="preserve">1</w:t>
            </w:r>
          </w:p>
        </w:tc>
        <w:tc>
          <w:tcPr>
            <w:tcW w:w="1514" w:type="dxa"/>
            <w:vAlign w:val="center"/>
          </w:tcPr>
          <w:p>
            <w:pPr>
              <w:spacing w:before="30" w:after="30"/>
              <w:jc w:val="left"/>
              <w:rPr>
                <w:rFonts w:ascii="Arial" w:hAnsi="Arial" w:cs="Arial"/>
                <w:sz w:val="18"/>
                <w:szCs w:val="18"/>
              </w:rPr>
            </w:pPr>
            <w:r>
              <w:rPr>
                <w:rFonts w:ascii="Arial" w:hAnsi="Arial" w:cs="Arial"/>
                <w:sz w:val="18"/>
                <w:szCs w:val="18"/>
              </w:rPr>
              <w:t xml:space="preserve">Physical - site</w:t>
            </w:r>
          </w:p>
        </w:tc>
        <w:tc>
          <w:tcPr>
            <w:tcW w:w="2574" w:type="dxa"/>
            <w:vAlign w:val="center"/>
          </w:tcPr>
          <w:p>
            <w:pPr>
              <w:spacing w:before="30" w:after="30"/>
              <w:jc w:val="left"/>
              <w:rPr>
                <w:rFonts w:ascii="Arial" w:hAnsi="Arial" w:cs="Arial"/>
                <w:sz w:val="18"/>
                <w:szCs w:val="18"/>
              </w:rPr>
            </w:pPr>
            <w:r>
              <w:rPr>
                <w:rFonts w:ascii="Arial" w:hAnsi="Arial" w:cs="Arial"/>
                <w:sz w:val="18"/>
                <w:szCs w:val="18"/>
              </w:rPr>
              <w:t xml:space="preserve">Can a climate-driven physical event stop the site producing conforming packaging?</w:t>
            </w:r>
          </w:p>
        </w:tc>
        <w:tc>
          <w:tcPr>
            <w:tcW w:w="3028" w:type="dxa"/>
            <w:vAlign w:val="center"/>
          </w:tcPr>
          <w:p>
            <w:pPr>
              <w:spacing w:before="30" w:after="30"/>
              <w:jc w:val="left"/>
              <w:rPr>
                <w:rFonts w:ascii="Arial" w:hAnsi="Arial" w:cs="Arial"/>
                <w:sz w:val="18"/>
                <w:szCs w:val="18"/>
              </w:rPr>
            </w:pPr>
            <w:r>
              <w:rPr>
                <w:rFonts w:ascii="Arial" w:hAnsi="Arial" w:cs="Arial"/>
                <w:sz w:val="18"/>
                <w:szCs w:val="18"/>
              </w:rPr>
              <w:t xml:space="preserve">Curing room excursion log 2025 and 2026; press hall temperature record; insurer survey dated 2026-04 noting raw material store roof drainage; environment agency flood map</w:t>
            </w:r>
          </w:p>
        </w:tc>
        <w:tc>
          <w:tcPr>
            <w:tcW w:w="908" w:type="dxa"/>
            <w:vAlign w:val="center"/>
          </w:tcPr>
          <w:p>
            <w:pPr>
              <w:spacing w:before="30" w:after="30"/>
              <w:jc w:val="left"/>
              <w:rPr>
                <w:rFonts w:ascii="Arial" w:hAnsi="Arial" w:cs="Arial"/>
                <w:sz w:val="18"/>
                <w:szCs w:val="18"/>
              </w:rPr>
            </w:pPr>
            <w:r>
              <w:rPr>
                <w:rFonts w:ascii="Arial" w:hAnsi="Arial" w:cs="Arial"/>
                <w:sz w:val="18"/>
                <w:szCs w:val="18"/>
              </w:rPr>
              <w:t xml:space="preserve">Yes</w:t>
            </w:r>
          </w:p>
        </w:tc>
        <w:tc>
          <w:tcPr>
            <w:tcW w:w="4088" w:type="dxa"/>
            <w:vAlign w:val="center"/>
          </w:tcPr>
          <w:p>
            <w:pPr>
              <w:spacing w:before="30" w:after="30"/>
              <w:jc w:val="left"/>
              <w:rPr>
                <w:rFonts w:ascii="Arial" w:hAnsi="Arial" w:cs="Arial"/>
                <w:sz w:val="18"/>
                <w:szCs w:val="18"/>
              </w:rPr>
            </w:pPr>
            <w:r>
              <w:rPr>
                <w:rFonts w:ascii="Arial" w:hAnsi="Arial" w:cs="Arial"/>
                <w:sz w:val="18"/>
                <w:szCs w:val="18"/>
              </w:rPr>
              <w:t xml:space="preserve">Sustained ambient above 32 degrees C destabilises curing room control and lengthens the validated 72 hour cure for Line A, and raises blocking risk in stored reels. Site is not in a mapped flood plain but store roof drainage is a known weakness.</w:t>
            </w:r>
          </w:p>
        </w:tc>
        <w:tc>
          <w:tcPr>
            <w:tcW w:w="2574" w:type="dxa"/>
            <w:vAlign w:val="center"/>
          </w:tcPr>
          <w:p>
            <w:pPr>
              <w:spacing w:before="30" w:after="30"/>
              <w:jc w:val="left"/>
              <w:rPr>
                <w:rFonts w:ascii="Arial" w:hAnsi="Arial" w:cs="Arial"/>
                <w:sz w:val="18"/>
                <w:szCs w:val="18"/>
              </w:rPr>
            </w:pPr>
            <w:r>
              <w:rPr>
                <w:rFonts w:ascii="Arial" w:hAnsi="Arial" w:cs="Arial"/>
                <w:sz w:val="18"/>
                <w:szCs w:val="18"/>
              </w:rPr>
              <w:t xml:space="preserve">RA 4.1 CX-04, CX-05</w:t>
            </w:r>
          </w:p>
        </w:tc>
      </w:tr>
      <w:tr>
        <w:tc>
          <w:tcPr>
            <w:tcW w:w="454" w:type="dxa"/>
            <w:vAlign w:val="center"/>
          </w:tcPr>
          <w:p>
            <w:pPr>
              <w:spacing w:before="30" w:after="30"/>
              <w:jc w:val="left"/>
              <w:rPr>
                <w:rFonts w:ascii="Arial" w:hAnsi="Arial" w:cs="Arial"/>
                <w:sz w:val="18"/>
                <w:szCs w:val="18"/>
              </w:rPr>
            </w:pPr>
            <w:r>
              <w:rPr>
                <w:rFonts w:ascii="Arial" w:hAnsi="Arial" w:cs="Arial"/>
                <w:sz w:val="18"/>
                <w:szCs w:val="18"/>
              </w:rPr>
              <w:t xml:space="preserve">2</w:t>
            </w:r>
          </w:p>
        </w:tc>
        <w:tc>
          <w:tcPr>
            <w:tcW w:w="1514" w:type="dxa"/>
            <w:vAlign w:val="center"/>
          </w:tcPr>
          <w:p>
            <w:pPr>
              <w:spacing w:before="30" w:after="30"/>
              <w:jc w:val="left"/>
              <w:rPr>
                <w:rFonts w:ascii="Arial" w:hAnsi="Arial" w:cs="Arial"/>
                <w:sz w:val="18"/>
                <w:szCs w:val="18"/>
              </w:rPr>
            </w:pPr>
            <w:r>
              <w:rPr>
                <w:rFonts w:ascii="Arial" w:hAnsi="Arial" w:cs="Arial"/>
                <w:sz w:val="18"/>
                <w:szCs w:val="18"/>
              </w:rPr>
              <w:t xml:space="preserve">Physical - supply chain</w:t>
            </w:r>
          </w:p>
        </w:tc>
        <w:tc>
          <w:tcPr>
            <w:tcW w:w="2574" w:type="dxa"/>
            <w:vAlign w:val="center"/>
          </w:tcPr>
          <w:p>
            <w:pPr>
              <w:spacing w:before="30" w:after="30"/>
              <w:jc w:val="left"/>
              <w:rPr>
                <w:rFonts w:ascii="Arial" w:hAnsi="Arial" w:cs="Arial"/>
                <w:sz w:val="18"/>
                <w:szCs w:val="18"/>
              </w:rPr>
            </w:pPr>
            <w:r>
              <w:rPr>
                <w:rFonts w:ascii="Arial" w:hAnsi="Arial" w:cs="Arial"/>
                <w:sz w:val="18"/>
                <w:szCs w:val="18"/>
              </w:rPr>
              <w:t xml:space="preserve">Can a climate-driven event interrupt a critical input?</w:t>
            </w:r>
          </w:p>
        </w:tc>
        <w:tc>
          <w:tcPr>
            <w:tcW w:w="3028" w:type="dxa"/>
            <w:vAlign w:val="center"/>
          </w:tcPr>
          <w:p>
            <w:pPr>
              <w:spacing w:before="30" w:after="30"/>
              <w:jc w:val="left"/>
              <w:rPr>
                <w:rFonts w:ascii="Arial" w:hAnsi="Arial" w:cs="Arial"/>
                <w:sz w:val="18"/>
                <w:szCs w:val="18"/>
              </w:rPr>
            </w:pPr>
            <w:r>
              <w:rPr>
                <w:rFonts w:ascii="Arial" w:hAnsi="Arial" w:cs="Arial"/>
                <w:sz w:val="18"/>
                <w:szCs w:val="18"/>
              </w:rPr>
              <w:t xml:space="preserve">Supplier business continuity statements from the adhesive and board suppliers; stock cover calculation on CF 8.4.2</w:t>
            </w:r>
          </w:p>
        </w:tc>
        <w:tc>
          <w:tcPr>
            <w:tcW w:w="908" w:type="dxa"/>
            <w:vAlign w:val="center"/>
          </w:tcPr>
          <w:p>
            <w:pPr>
              <w:spacing w:before="30" w:after="30"/>
              <w:jc w:val="left"/>
              <w:rPr>
                <w:rFonts w:ascii="Arial" w:hAnsi="Arial" w:cs="Arial"/>
                <w:sz w:val="18"/>
                <w:szCs w:val="18"/>
              </w:rPr>
            </w:pPr>
            <w:r>
              <w:rPr>
                <w:rFonts w:ascii="Arial" w:hAnsi="Arial" w:cs="Arial"/>
                <w:sz w:val="18"/>
                <w:szCs w:val="18"/>
              </w:rPr>
              <w:t xml:space="preserve">Yes</w:t>
            </w:r>
          </w:p>
        </w:tc>
        <w:tc>
          <w:tcPr>
            <w:tcW w:w="4088" w:type="dxa"/>
            <w:vAlign w:val="center"/>
          </w:tcPr>
          <w:p>
            <w:pPr>
              <w:spacing w:before="30" w:after="30"/>
              <w:jc w:val="left"/>
              <w:rPr>
                <w:rFonts w:ascii="Arial" w:hAnsi="Arial" w:cs="Arial"/>
                <w:sz w:val="18"/>
                <w:szCs w:val="18"/>
              </w:rPr>
            </w:pPr>
            <w:r>
              <w:rPr>
                <w:rFonts w:ascii="Arial" w:hAnsi="Arial" w:cs="Arial"/>
                <w:sz w:val="18"/>
                <w:szCs w:val="18"/>
              </w:rPr>
              <w:t xml:space="preserve">Two-component adhesive hardener and barrier-coated boxboard are each single-sourced from one European plant. A flood, storm or water restriction at either would halt the affected line within 3 weeks of cover.</w:t>
            </w:r>
          </w:p>
        </w:tc>
        <w:tc>
          <w:tcPr>
            <w:tcW w:w="2574" w:type="dxa"/>
            <w:vAlign w:val="center"/>
          </w:tcPr>
          <w:p>
            <w:pPr>
              <w:spacing w:before="30" w:after="30"/>
              <w:jc w:val="left"/>
              <w:rPr>
                <w:rFonts w:ascii="Arial" w:hAnsi="Arial" w:cs="Arial"/>
                <w:sz w:val="18"/>
                <w:szCs w:val="18"/>
              </w:rPr>
            </w:pPr>
            <w:r>
              <w:rPr>
                <w:rFonts w:ascii="Arial" w:hAnsi="Arial" w:cs="Arial"/>
                <w:sz w:val="18"/>
                <w:szCs w:val="18"/>
              </w:rPr>
              <w:t xml:space="preserve">RA 4.1 CX-06; RA 8.4</w:t>
            </w:r>
          </w:p>
        </w:tc>
      </w:tr>
      <w:tr>
        <w:tc>
          <w:tcPr>
            <w:tcW w:w="454" w:type="dxa"/>
            <w:vAlign w:val="center"/>
          </w:tcPr>
          <w:p>
            <w:pPr>
              <w:spacing w:before="30" w:after="30"/>
              <w:jc w:val="left"/>
              <w:rPr>
                <w:rFonts w:ascii="Arial" w:hAnsi="Arial" w:cs="Arial"/>
                <w:sz w:val="18"/>
                <w:szCs w:val="18"/>
              </w:rPr>
            </w:pPr>
            <w:r>
              <w:rPr>
                <w:rFonts w:ascii="Arial" w:hAnsi="Arial" w:cs="Arial"/>
                <w:sz w:val="18"/>
                <w:szCs w:val="18"/>
              </w:rPr>
              <w:t xml:space="preserve">3</w:t>
            </w:r>
          </w:p>
        </w:tc>
        <w:tc>
          <w:tcPr>
            <w:tcW w:w="1514" w:type="dxa"/>
            <w:vAlign w:val="center"/>
          </w:tcPr>
          <w:p>
            <w:pPr>
              <w:spacing w:before="30" w:after="30"/>
              <w:jc w:val="left"/>
              <w:rPr>
                <w:rFonts w:ascii="Arial" w:hAnsi="Arial" w:cs="Arial"/>
                <w:sz w:val="18"/>
                <w:szCs w:val="18"/>
              </w:rPr>
            </w:pPr>
            <w:r>
              <w:rPr>
                <w:rFonts w:ascii="Arial" w:hAnsi="Arial" w:cs="Arial"/>
                <w:sz w:val="18"/>
                <w:szCs w:val="18"/>
              </w:rPr>
              <w:t xml:space="preserve">Utilities and energy</w:t>
            </w:r>
          </w:p>
        </w:tc>
        <w:tc>
          <w:tcPr>
            <w:tcW w:w="2574" w:type="dxa"/>
            <w:vAlign w:val="center"/>
          </w:tcPr>
          <w:p>
            <w:pPr>
              <w:spacing w:before="30" w:after="30"/>
              <w:jc w:val="left"/>
              <w:rPr>
                <w:rFonts w:ascii="Arial" w:hAnsi="Arial" w:cs="Arial"/>
                <w:sz w:val="18"/>
                <w:szCs w:val="18"/>
              </w:rPr>
            </w:pPr>
            <w:r>
              <w:rPr>
                <w:rFonts w:ascii="Arial" w:hAnsi="Arial" w:cs="Arial"/>
                <w:sz w:val="18"/>
                <w:szCs w:val="18"/>
              </w:rPr>
              <w:t xml:space="preserve">Is the process dependent on an energy or water supply exposed to climate policy, curtailment or cost shock?</w:t>
            </w:r>
          </w:p>
        </w:tc>
        <w:tc>
          <w:tcPr>
            <w:tcW w:w="3028" w:type="dxa"/>
            <w:vAlign w:val="center"/>
          </w:tcPr>
          <w:p>
            <w:pPr>
              <w:spacing w:before="30" w:after="30"/>
              <w:jc w:val="left"/>
              <w:rPr>
                <w:rFonts w:ascii="Arial" w:hAnsi="Arial" w:cs="Arial"/>
                <w:sz w:val="18"/>
                <w:szCs w:val="18"/>
              </w:rPr>
            </w:pPr>
            <w:r>
              <w:rPr>
                <w:rFonts w:ascii="Arial" w:hAnsi="Arial" w:cs="Arial"/>
                <w:sz w:val="18"/>
                <w:szCs w:val="18"/>
              </w:rPr>
              <w:t xml:space="preserve">Utility contract; energy per 1000 m2 printed; local water abstraction consultation</w:t>
            </w:r>
          </w:p>
        </w:tc>
        <w:tc>
          <w:tcPr>
            <w:tcW w:w="908" w:type="dxa"/>
            <w:vAlign w:val="center"/>
          </w:tcPr>
          <w:p>
            <w:pPr>
              <w:spacing w:before="30" w:after="30"/>
              <w:jc w:val="left"/>
              <w:rPr>
                <w:rFonts w:ascii="Arial" w:hAnsi="Arial" w:cs="Arial"/>
                <w:sz w:val="18"/>
                <w:szCs w:val="18"/>
              </w:rPr>
            </w:pPr>
            <w:r>
              <w:rPr>
                <w:rFonts w:ascii="Arial" w:hAnsi="Arial" w:cs="Arial"/>
                <w:sz w:val="18"/>
                <w:szCs w:val="18"/>
              </w:rPr>
              <w:t xml:space="preserve">Yes</w:t>
            </w:r>
          </w:p>
        </w:tc>
        <w:tc>
          <w:tcPr>
            <w:tcW w:w="4088" w:type="dxa"/>
            <w:vAlign w:val="center"/>
          </w:tcPr>
          <w:p>
            <w:pPr>
              <w:spacing w:before="30" w:after="30"/>
              <w:jc w:val="left"/>
              <w:rPr>
                <w:rFonts w:ascii="Arial" w:hAnsi="Arial" w:cs="Arial"/>
                <w:sz w:val="18"/>
                <w:szCs w:val="18"/>
              </w:rPr>
            </w:pPr>
            <w:r>
              <w:rPr>
                <w:rFonts w:ascii="Arial" w:hAnsi="Arial" w:cs="Arial"/>
                <w:sz w:val="18"/>
                <w:szCs w:val="18"/>
              </w:rPr>
              <w:t xml:space="preserve">Gravure drying, the RTO, the UV lamps and the curing room are energy intensive; wash-up and cooling are water dependent. Curtailment threatens the ability to hold validated parameters, not only cost.</w:t>
            </w:r>
          </w:p>
        </w:tc>
        <w:tc>
          <w:tcPr>
            <w:tcW w:w="2574" w:type="dxa"/>
            <w:vAlign w:val="center"/>
          </w:tcPr>
          <w:p>
            <w:pPr>
              <w:spacing w:before="30" w:after="30"/>
              <w:jc w:val="left"/>
              <w:rPr>
                <w:rFonts w:ascii="Arial" w:hAnsi="Arial" w:cs="Arial"/>
                <w:sz w:val="18"/>
                <w:szCs w:val="18"/>
              </w:rPr>
            </w:pPr>
            <w:r>
              <w:rPr>
                <w:rFonts w:ascii="Arial" w:hAnsi="Arial" w:cs="Arial"/>
                <w:sz w:val="18"/>
                <w:szCs w:val="18"/>
              </w:rPr>
              <w:t xml:space="preserve">RA 4.1 CX-07</w:t>
            </w:r>
          </w:p>
        </w:tc>
      </w:tr>
      <w:tr>
        <w:tc>
          <w:tcPr>
            <w:tcW w:w="454" w:type="dxa"/>
            <w:vAlign w:val="center"/>
          </w:tcPr>
          <w:p>
            <w:pPr>
              <w:spacing w:before="30" w:after="30"/>
              <w:jc w:val="left"/>
              <w:rPr>
                <w:rFonts w:ascii="Arial" w:hAnsi="Arial" w:cs="Arial"/>
                <w:sz w:val="18"/>
                <w:szCs w:val="18"/>
              </w:rPr>
            </w:pPr>
            <w:r>
              <w:rPr>
                <w:rFonts w:ascii="Arial" w:hAnsi="Arial" w:cs="Arial"/>
                <w:sz w:val="18"/>
                <w:szCs w:val="18"/>
              </w:rPr>
              <w:t xml:space="preserve">4</w:t>
            </w:r>
          </w:p>
        </w:tc>
        <w:tc>
          <w:tcPr>
            <w:tcW w:w="1514" w:type="dxa"/>
            <w:vAlign w:val="center"/>
          </w:tcPr>
          <w:p>
            <w:pPr>
              <w:spacing w:before="30" w:after="30"/>
              <w:jc w:val="left"/>
              <w:rPr>
                <w:rFonts w:ascii="Arial" w:hAnsi="Arial" w:cs="Arial"/>
                <w:sz w:val="18"/>
                <w:szCs w:val="18"/>
              </w:rPr>
            </w:pPr>
            <w:r>
              <w:rPr>
                <w:rFonts w:ascii="Arial" w:hAnsi="Arial" w:cs="Arial"/>
                <w:sz w:val="18"/>
                <w:szCs w:val="18"/>
              </w:rPr>
              <w:t xml:space="preserve">Regulatory transition</w:t>
            </w:r>
          </w:p>
        </w:tc>
        <w:tc>
          <w:tcPr>
            <w:tcW w:w="2574" w:type="dxa"/>
            <w:vAlign w:val="center"/>
          </w:tcPr>
          <w:p>
            <w:pPr>
              <w:spacing w:before="30" w:after="30"/>
              <w:jc w:val="left"/>
              <w:rPr>
                <w:rFonts w:ascii="Arial" w:hAnsi="Arial" w:cs="Arial"/>
                <w:sz w:val="18"/>
                <w:szCs w:val="18"/>
              </w:rPr>
            </w:pPr>
            <w:r>
              <w:rPr>
                <w:rFonts w:ascii="Arial" w:hAnsi="Arial" w:cs="Arial"/>
                <w:sz w:val="18"/>
                <w:szCs w:val="18"/>
              </w:rPr>
              <w:t xml:space="preserve">Do climate-related regulations change the product or the process?</w:t>
            </w:r>
          </w:p>
        </w:tc>
        <w:tc>
          <w:tcPr>
            <w:tcW w:w="3028" w:type="dxa"/>
            <w:vAlign w:val="center"/>
          </w:tcPr>
          <w:p>
            <w:pPr>
              <w:spacing w:before="30" w:after="30"/>
              <w:jc w:val="left"/>
              <w:rPr>
                <w:rFonts w:ascii="Arial" w:hAnsi="Arial" w:cs="Arial"/>
                <w:sz w:val="18"/>
                <w:szCs w:val="18"/>
              </w:rPr>
            </w:pPr>
            <w:r>
              <w:rPr>
                <w:rFonts w:ascii="Arial" w:hAnsi="Arial" w:cs="Arial"/>
                <w:sz w:val="18"/>
                <w:szCs w:val="18"/>
              </w:rPr>
              <w:t xml:space="preserve">CF 7.5.4 legal register; extended producer responsibility scheme rules; recycled content targets</w:t>
            </w:r>
          </w:p>
        </w:tc>
        <w:tc>
          <w:tcPr>
            <w:tcW w:w="908" w:type="dxa"/>
            <w:vAlign w:val="center"/>
          </w:tcPr>
          <w:p>
            <w:pPr>
              <w:spacing w:before="30" w:after="30"/>
              <w:jc w:val="left"/>
              <w:rPr>
                <w:rFonts w:ascii="Arial" w:hAnsi="Arial" w:cs="Arial"/>
                <w:sz w:val="18"/>
                <w:szCs w:val="18"/>
              </w:rPr>
            </w:pPr>
            <w:r>
              <w:rPr>
                <w:rFonts w:ascii="Arial" w:hAnsi="Arial" w:cs="Arial"/>
                <w:sz w:val="18"/>
                <w:szCs w:val="18"/>
              </w:rPr>
              <w:t xml:space="preserve">Yes</w:t>
            </w:r>
          </w:p>
        </w:tc>
        <w:tc>
          <w:tcPr>
            <w:tcW w:w="4088" w:type="dxa"/>
            <w:vAlign w:val="center"/>
          </w:tcPr>
          <w:p>
            <w:pPr>
              <w:spacing w:before="30" w:after="30"/>
              <w:jc w:val="left"/>
              <w:rPr>
                <w:rFonts w:ascii="Arial" w:hAnsi="Arial" w:cs="Arial"/>
                <w:sz w:val="18"/>
                <w:szCs w:val="18"/>
              </w:rPr>
            </w:pPr>
            <w:r>
              <w:rPr>
                <w:rFonts w:ascii="Arial" w:hAnsi="Arial" w:cs="Arial"/>
                <w:sz w:val="18"/>
                <w:szCs w:val="18"/>
              </w:rPr>
              <w:t xml:space="preserve">Packaging taxes, EPR fees and recycled content targets are changing the structures customers specify and are driving qualification of recycled and mono-material inputs under PRO 8.3.</w:t>
            </w:r>
          </w:p>
        </w:tc>
        <w:tc>
          <w:tcPr>
            <w:tcW w:w="2574" w:type="dxa"/>
            <w:vAlign w:val="center"/>
          </w:tcPr>
          <w:p>
            <w:pPr>
              <w:spacing w:before="30" w:after="30"/>
              <w:jc w:val="left"/>
              <w:rPr>
                <w:rFonts w:ascii="Arial" w:hAnsi="Arial" w:cs="Arial"/>
                <w:sz w:val="18"/>
                <w:szCs w:val="18"/>
              </w:rPr>
            </w:pPr>
            <w:r>
              <w:rPr>
                <w:rFonts w:ascii="Arial" w:hAnsi="Arial" w:cs="Arial"/>
                <w:sz w:val="18"/>
                <w:szCs w:val="18"/>
              </w:rPr>
              <w:t xml:space="preserve">CF 6.1.2 OPP-03</w:t>
            </w:r>
          </w:p>
        </w:tc>
      </w:tr>
      <w:tr>
        <w:tc>
          <w:tcPr>
            <w:tcW w:w="454" w:type="dxa"/>
            <w:vAlign w:val="center"/>
          </w:tcPr>
          <w:p>
            <w:pPr>
              <w:spacing w:before="30" w:after="30"/>
              <w:jc w:val="left"/>
              <w:rPr>
                <w:rFonts w:ascii="Arial" w:hAnsi="Arial" w:cs="Arial"/>
                <w:sz w:val="18"/>
                <w:szCs w:val="18"/>
              </w:rPr>
            </w:pPr>
            <w:r>
              <w:rPr>
                <w:rFonts w:ascii="Arial" w:hAnsi="Arial" w:cs="Arial"/>
                <w:sz w:val="18"/>
                <w:szCs w:val="18"/>
              </w:rPr>
              <w:t xml:space="preserve">5</w:t>
            </w:r>
          </w:p>
        </w:tc>
        <w:tc>
          <w:tcPr>
            <w:tcW w:w="1514" w:type="dxa"/>
            <w:vAlign w:val="center"/>
          </w:tcPr>
          <w:p>
            <w:pPr>
              <w:spacing w:before="30" w:after="30"/>
              <w:jc w:val="left"/>
              <w:rPr>
                <w:rFonts w:ascii="Arial" w:hAnsi="Arial" w:cs="Arial"/>
                <w:sz w:val="18"/>
                <w:szCs w:val="18"/>
              </w:rPr>
            </w:pPr>
            <w:r>
              <w:rPr>
                <w:rFonts w:ascii="Arial" w:hAnsi="Arial" w:cs="Arial"/>
                <w:sz w:val="18"/>
                <w:szCs w:val="18"/>
              </w:rPr>
              <w:t xml:space="preserve">Customer and market expectation</w:t>
            </w:r>
          </w:p>
        </w:tc>
        <w:tc>
          <w:tcPr>
            <w:tcW w:w="2574" w:type="dxa"/>
            <w:vAlign w:val="center"/>
          </w:tcPr>
          <w:p>
            <w:pPr>
              <w:spacing w:before="30" w:after="30"/>
              <w:jc w:val="left"/>
              <w:rPr>
                <w:rFonts w:ascii="Arial" w:hAnsi="Arial" w:cs="Arial"/>
                <w:sz w:val="18"/>
                <w:szCs w:val="18"/>
              </w:rPr>
            </w:pPr>
            <w:r>
              <w:rPr>
                <w:rFonts w:ascii="Arial" w:hAnsi="Arial" w:cs="Arial"/>
                <w:sz w:val="18"/>
                <w:szCs w:val="18"/>
              </w:rPr>
              <w:t xml:space="preserve">Do customers impose climate-related requirements the QMS must satisfy?</w:t>
            </w:r>
          </w:p>
        </w:tc>
        <w:tc>
          <w:tcPr>
            <w:tcW w:w="3028" w:type="dxa"/>
            <w:vAlign w:val="center"/>
          </w:tcPr>
          <w:p>
            <w:pPr>
              <w:spacing w:before="30" w:after="30"/>
              <w:jc w:val="left"/>
              <w:rPr>
                <w:rFonts w:ascii="Arial" w:hAnsi="Arial" w:cs="Arial"/>
                <w:sz w:val="18"/>
                <w:szCs w:val="18"/>
              </w:rPr>
            </w:pPr>
            <w:r>
              <w:rPr>
                <w:rFonts w:ascii="Arial" w:hAnsi="Arial" w:cs="Arial"/>
                <w:sz w:val="18"/>
                <w:szCs w:val="18"/>
              </w:rPr>
              <w:t xml:space="preserve">Customer specifications and supplier questionnaires received in the period</w:t>
            </w:r>
          </w:p>
        </w:tc>
        <w:tc>
          <w:tcPr>
            <w:tcW w:w="908" w:type="dxa"/>
            <w:vAlign w:val="center"/>
          </w:tcPr>
          <w:p>
            <w:pPr>
              <w:spacing w:before="30" w:after="30"/>
              <w:jc w:val="left"/>
              <w:rPr>
                <w:rFonts w:ascii="Arial" w:hAnsi="Arial" w:cs="Arial"/>
                <w:sz w:val="18"/>
                <w:szCs w:val="18"/>
              </w:rPr>
            </w:pPr>
            <w:r>
              <w:rPr>
                <w:rFonts w:ascii="Arial" w:hAnsi="Arial" w:cs="Arial"/>
                <w:sz w:val="18"/>
                <w:szCs w:val="18"/>
              </w:rPr>
              <w:t xml:space="preserve">Yes</w:t>
            </w:r>
          </w:p>
        </w:tc>
        <w:tc>
          <w:tcPr>
            <w:tcW w:w="4088" w:type="dxa"/>
            <w:vAlign w:val="center"/>
          </w:tcPr>
          <w:p>
            <w:pPr>
              <w:spacing w:before="30" w:after="30"/>
              <w:jc w:val="left"/>
              <w:rPr>
                <w:rFonts w:ascii="Arial" w:hAnsi="Arial" w:cs="Arial"/>
                <w:sz w:val="18"/>
                <w:szCs w:val="18"/>
              </w:rPr>
            </w:pPr>
            <w:r>
              <w:rPr>
                <w:rFonts w:ascii="Arial" w:hAnsi="Arial" w:cs="Arial"/>
                <w:sz w:val="18"/>
                <w:szCs w:val="18"/>
              </w:rPr>
              <w:t xml:space="preserve">Brand owners increasingly require declared recycled content, recyclability assessment and carbon data alongside the Declaration of Compliance. These are customer requirements under clause 8.2 and must be reviewed for the ability to meet them before acceptance.</w:t>
            </w:r>
          </w:p>
        </w:tc>
        <w:tc>
          <w:tcPr>
            <w:tcW w:w="2574" w:type="dxa"/>
            <w:vAlign w:val="center"/>
          </w:tcPr>
          <w:p>
            <w:pPr>
              <w:spacing w:before="30" w:after="30"/>
              <w:jc w:val="left"/>
              <w:rPr>
                <w:rFonts w:ascii="Arial" w:hAnsi="Arial" w:cs="Arial"/>
                <w:sz w:val="18"/>
                <w:szCs w:val="18"/>
              </w:rPr>
            </w:pPr>
            <w:r>
              <w:rPr>
                <w:rFonts w:ascii="Arial" w:hAnsi="Arial" w:cs="Arial"/>
                <w:sz w:val="18"/>
                <w:szCs w:val="18"/>
              </w:rPr>
              <w:t xml:space="preserve">CF 16.1; PRO 8.2</w:t>
            </w:r>
          </w:p>
        </w:tc>
      </w:tr>
      <w:tr>
        <w:tc>
          <w:tcPr>
            <w:tcW w:w="454" w:type="dxa"/>
            <w:vAlign w:val="center"/>
          </w:tcPr>
          <w:p>
            <w:pPr>
              <w:spacing w:before="30" w:after="30"/>
              <w:jc w:val="left"/>
              <w:rPr>
                <w:rFonts w:ascii="Arial" w:hAnsi="Arial" w:cs="Arial"/>
                <w:sz w:val="18"/>
                <w:szCs w:val="18"/>
              </w:rPr>
            </w:pPr>
            <w:r>
              <w:rPr>
                <w:rFonts w:ascii="Arial" w:hAnsi="Arial" w:cs="Arial"/>
                <w:sz w:val="18"/>
                <w:szCs w:val="18"/>
              </w:rPr>
              <w:t xml:space="preserve">6</w:t>
            </w:r>
          </w:p>
        </w:tc>
        <w:tc>
          <w:tcPr>
            <w:tcW w:w="1514" w:type="dxa"/>
            <w:vAlign w:val="center"/>
          </w:tcPr>
          <w:p>
            <w:pPr>
              <w:spacing w:before="30" w:after="30"/>
              <w:jc w:val="left"/>
              <w:rPr>
                <w:rFonts w:ascii="Arial" w:hAnsi="Arial" w:cs="Arial"/>
                <w:sz w:val="18"/>
                <w:szCs w:val="18"/>
              </w:rPr>
            </w:pPr>
            <w:r>
              <w:rPr>
                <w:rFonts w:ascii="Arial" w:hAnsi="Arial" w:cs="Arial"/>
                <w:sz w:val="18"/>
                <w:szCs w:val="18"/>
              </w:rPr>
              <w:t xml:space="preserve">Workforce</w:t>
            </w:r>
          </w:p>
        </w:tc>
        <w:tc>
          <w:tcPr>
            <w:tcW w:w="2574" w:type="dxa"/>
            <w:vAlign w:val="center"/>
          </w:tcPr>
          <w:p>
            <w:pPr>
              <w:spacing w:before="30" w:after="30"/>
              <w:jc w:val="left"/>
              <w:rPr>
                <w:rFonts w:ascii="Arial" w:hAnsi="Arial" w:cs="Arial"/>
                <w:sz w:val="18"/>
                <w:szCs w:val="18"/>
              </w:rPr>
            </w:pPr>
            <w:r>
              <w:rPr>
                <w:rFonts w:ascii="Arial" w:hAnsi="Arial" w:cs="Arial"/>
                <w:sz w:val="18"/>
                <w:szCs w:val="18"/>
              </w:rPr>
              <w:t xml:space="preserve">Does a climate factor affect the ability of people to work to the required standard?</w:t>
            </w:r>
          </w:p>
        </w:tc>
        <w:tc>
          <w:tcPr>
            <w:tcW w:w="3028" w:type="dxa"/>
            <w:vAlign w:val="center"/>
          </w:tcPr>
          <w:p>
            <w:pPr>
              <w:spacing w:before="30" w:after="30"/>
              <w:jc w:val="left"/>
              <w:rPr>
                <w:rFonts w:ascii="Arial" w:hAnsi="Arial" w:cs="Arial"/>
                <w:sz w:val="18"/>
                <w:szCs w:val="18"/>
              </w:rPr>
            </w:pPr>
            <w:r>
              <w:rPr>
                <w:rFonts w:ascii="Arial" w:hAnsi="Arial" w:cs="Arial"/>
                <w:sz w:val="18"/>
                <w:szCs w:val="18"/>
              </w:rPr>
              <w:t xml:space="preserve">Press hall temperature record; short-term absence data; first-off error rate by month</w:t>
            </w:r>
          </w:p>
        </w:tc>
        <w:tc>
          <w:tcPr>
            <w:tcW w:w="908" w:type="dxa"/>
            <w:vAlign w:val="center"/>
          </w:tcPr>
          <w:p>
            <w:pPr>
              <w:spacing w:before="30" w:after="30"/>
              <w:jc w:val="left"/>
              <w:rPr>
                <w:rFonts w:ascii="Arial" w:hAnsi="Arial" w:cs="Arial"/>
                <w:sz w:val="18"/>
                <w:szCs w:val="18"/>
              </w:rPr>
            </w:pPr>
            <w:r>
              <w:rPr>
                <w:rFonts w:ascii="Arial" w:hAnsi="Arial" w:cs="Arial"/>
                <w:sz w:val="18"/>
                <w:szCs w:val="18"/>
              </w:rPr>
              <w:t xml:space="preserve">Partly</w:t>
            </w:r>
          </w:p>
        </w:tc>
        <w:tc>
          <w:tcPr>
            <w:tcW w:w="4088" w:type="dxa"/>
            <w:vAlign w:val="center"/>
          </w:tcPr>
          <w:p>
            <w:pPr>
              <w:spacing w:before="30" w:after="30"/>
              <w:jc w:val="left"/>
              <w:rPr>
                <w:rFonts w:ascii="Arial" w:hAnsi="Arial" w:cs="Arial"/>
                <w:sz w:val="18"/>
                <w:szCs w:val="18"/>
              </w:rPr>
            </w:pPr>
            <w:r>
              <w:rPr>
                <w:rFonts w:ascii="Arial" w:hAnsi="Arial" w:cs="Arial"/>
                <w:sz w:val="18"/>
                <w:szCs w:val="18"/>
              </w:rPr>
              <w:t xml:space="preserve">Press hall temperature above 30 degrees C correlates with a measurable rise in first-off visual check errors and short-term absence. Managed as a work environment issue under clause 7.1.4 rather than as a separate risk.</w:t>
            </w:r>
          </w:p>
        </w:tc>
        <w:tc>
          <w:tcPr>
            <w:tcW w:w="2574" w:type="dxa"/>
            <w:vAlign w:val="center"/>
          </w:tcPr>
          <w:p>
            <w:pPr>
              <w:spacing w:before="30" w:after="30"/>
              <w:jc w:val="left"/>
              <w:rPr>
                <w:rFonts w:ascii="Arial" w:hAnsi="Arial" w:cs="Arial"/>
                <w:sz w:val="18"/>
                <w:szCs w:val="18"/>
              </w:rPr>
            </w:pPr>
            <w:r>
              <w:rPr>
                <w:rFonts w:ascii="Arial" w:hAnsi="Arial" w:cs="Arial"/>
                <w:sz w:val="18"/>
                <w:szCs w:val="18"/>
              </w:rPr>
              <w:t xml:space="preserve">CF 7.1.2</w:t>
            </w:r>
          </w:p>
        </w:tc>
      </w:tr>
      <w:tr>
        <w:tc>
          <w:tcPr>
            <w:tcW w:w="454" w:type="dxa"/>
            <w:vAlign w:val="center"/>
          </w:tcPr>
          <w:p>
            <w:pPr>
              <w:spacing w:before="30" w:after="30"/>
              <w:jc w:val="left"/>
              <w:rPr>
                <w:rFonts w:ascii="Arial" w:hAnsi="Arial" w:cs="Arial"/>
                <w:sz w:val="18"/>
                <w:szCs w:val="18"/>
              </w:rPr>
            </w:pPr>
            <w:r>
              <w:rPr>
                <w:rFonts w:ascii="Arial" w:hAnsi="Arial" w:cs="Arial"/>
                <w:sz w:val="18"/>
                <w:szCs w:val="18"/>
              </w:rPr>
              <w:t xml:space="preserve">7</w:t>
            </w:r>
          </w:p>
        </w:tc>
        <w:tc>
          <w:tcPr>
            <w:tcW w:w="1514" w:type="dxa"/>
            <w:vAlign w:val="center"/>
          </w:tcPr>
          <w:p>
            <w:pPr>
              <w:spacing w:before="30" w:after="30"/>
              <w:jc w:val="left"/>
              <w:rPr>
                <w:rFonts w:ascii="Arial" w:hAnsi="Arial" w:cs="Arial"/>
                <w:sz w:val="18"/>
                <w:szCs w:val="18"/>
              </w:rPr>
            </w:pPr>
            <w:r>
              <w:rPr>
                <w:rFonts w:ascii="Arial" w:hAnsi="Arial" w:cs="Arial"/>
                <w:sz w:val="18"/>
                <w:szCs w:val="18"/>
              </w:rPr>
              <w:t xml:space="preserve">Raw material performance</w:t>
            </w:r>
          </w:p>
        </w:tc>
        <w:tc>
          <w:tcPr>
            <w:tcW w:w="2574" w:type="dxa"/>
            <w:vAlign w:val="center"/>
          </w:tcPr>
          <w:p>
            <w:pPr>
              <w:spacing w:before="30" w:after="30"/>
              <w:jc w:val="left"/>
              <w:rPr>
                <w:rFonts w:ascii="Arial" w:hAnsi="Arial" w:cs="Arial"/>
                <w:sz w:val="18"/>
                <w:szCs w:val="18"/>
              </w:rPr>
            </w:pPr>
            <w:r>
              <w:rPr>
                <w:rFonts w:ascii="Arial" w:hAnsi="Arial" w:cs="Arial"/>
                <w:sz w:val="18"/>
                <w:szCs w:val="18"/>
              </w:rPr>
              <w:t xml:space="preserve">Does a climate-driven change alter the behaviour of an input?</w:t>
            </w:r>
          </w:p>
        </w:tc>
        <w:tc>
          <w:tcPr>
            <w:tcW w:w="3028" w:type="dxa"/>
            <w:vAlign w:val="center"/>
          </w:tcPr>
          <w:p>
            <w:pPr>
              <w:spacing w:before="30" w:after="30"/>
              <w:jc w:val="left"/>
              <w:rPr>
                <w:rFonts w:ascii="Arial" w:hAnsi="Arial" w:cs="Arial"/>
                <w:sz w:val="18"/>
                <w:szCs w:val="18"/>
              </w:rPr>
            </w:pPr>
            <w:r>
              <w:rPr>
                <w:rFonts w:ascii="Arial" w:hAnsi="Arial" w:cs="Arial"/>
                <w:sz w:val="18"/>
                <w:szCs w:val="18"/>
              </w:rPr>
              <w:t xml:space="preserve">Ink and adhesive supplier technical bulletins; goods-in moisture results on board</w:t>
            </w:r>
          </w:p>
        </w:tc>
        <w:tc>
          <w:tcPr>
            <w:tcW w:w="908" w:type="dxa"/>
            <w:vAlign w:val="center"/>
          </w:tcPr>
          <w:p>
            <w:pPr>
              <w:spacing w:before="30" w:after="30"/>
              <w:jc w:val="left"/>
              <w:rPr>
                <w:rFonts w:ascii="Arial" w:hAnsi="Arial" w:cs="Arial"/>
                <w:sz w:val="18"/>
                <w:szCs w:val="18"/>
              </w:rPr>
            </w:pPr>
            <w:r>
              <w:rPr>
                <w:rFonts w:ascii="Arial" w:hAnsi="Arial" w:cs="Arial"/>
                <w:sz w:val="18"/>
                <w:szCs w:val="18"/>
              </w:rPr>
              <w:t xml:space="preserve">Yes</w:t>
            </w:r>
          </w:p>
        </w:tc>
        <w:tc>
          <w:tcPr>
            <w:tcW w:w="4088" w:type="dxa"/>
            <w:vAlign w:val="center"/>
          </w:tcPr>
          <w:p>
            <w:pPr>
              <w:spacing w:before="30" w:after="30"/>
              <w:jc w:val="left"/>
              <w:rPr>
                <w:rFonts w:ascii="Arial" w:hAnsi="Arial" w:cs="Arial"/>
                <w:sz w:val="18"/>
                <w:szCs w:val="18"/>
              </w:rPr>
            </w:pPr>
            <w:r>
              <w:rPr>
                <w:rFonts w:ascii="Arial" w:hAnsi="Arial" w:cs="Arial"/>
                <w:sz w:val="18"/>
                <w:szCs w:val="18"/>
              </w:rPr>
              <w:t xml:space="preserve">Board moisture content on delivery varies more widely across the year than the specification assumed, affecting die-cutting and gluing conformity in summer. Goods-in conditioning requirement added.</w:t>
            </w:r>
          </w:p>
        </w:tc>
        <w:tc>
          <w:tcPr>
            <w:tcW w:w="2574" w:type="dxa"/>
            <w:vAlign w:val="center"/>
          </w:tcPr>
          <w:p>
            <w:pPr>
              <w:spacing w:before="30" w:after="30"/>
              <w:jc w:val="left"/>
              <w:rPr>
                <w:rFonts w:ascii="Arial" w:hAnsi="Arial" w:cs="Arial"/>
                <w:sz w:val="18"/>
                <w:szCs w:val="18"/>
              </w:rPr>
            </w:pPr>
            <w:r>
              <w:rPr>
                <w:rFonts w:ascii="Arial" w:hAnsi="Arial" w:cs="Arial"/>
                <w:sz w:val="18"/>
                <w:szCs w:val="18"/>
              </w:rPr>
              <w:t xml:space="preserve">RA 4.1 CX-12; CF 8.4.5</w:t>
            </w:r>
          </w:p>
        </w:tc>
      </w:tr>
      <w:tr>
        <w:tc>
          <w:tcPr>
            <w:tcW w:w="454" w:type="dxa"/>
            <w:vAlign w:val="center"/>
          </w:tcPr>
          <w:p>
            <w:pPr>
              <w:spacing w:before="30" w:after="30"/>
              <w:jc w:val="left"/>
              <w:rPr>
                <w:rFonts w:ascii="Arial" w:hAnsi="Arial" w:cs="Arial"/>
                <w:sz w:val="18"/>
                <w:szCs w:val="18"/>
              </w:rPr>
            </w:pPr>
            <w:r>
              <w:rPr>
                <w:rFonts w:ascii="Arial" w:hAnsi="Arial" w:cs="Arial"/>
                <w:sz w:val="18"/>
                <w:szCs w:val="18"/>
              </w:rPr>
              <w:t xml:space="preserve">8</w:t>
            </w:r>
          </w:p>
        </w:tc>
        <w:tc>
          <w:tcPr>
            <w:tcW w:w="1514" w:type="dxa"/>
            <w:vAlign w:val="center"/>
          </w:tcPr>
          <w:p>
            <w:pPr>
              <w:spacing w:before="30" w:after="30"/>
              <w:jc w:val="left"/>
              <w:rPr>
                <w:rFonts w:ascii="Arial" w:hAnsi="Arial" w:cs="Arial"/>
                <w:sz w:val="18"/>
                <w:szCs w:val="18"/>
              </w:rPr>
            </w:pPr>
            <w:r>
              <w:rPr>
                <w:rFonts w:ascii="Arial" w:hAnsi="Arial" w:cs="Arial"/>
                <w:sz w:val="18"/>
                <w:szCs w:val="18"/>
              </w:rPr>
              <w:t xml:space="preserve">Waste and recyclate markets</w:t>
            </w:r>
          </w:p>
        </w:tc>
        <w:tc>
          <w:tcPr>
            <w:tcW w:w="2574" w:type="dxa"/>
            <w:vAlign w:val="center"/>
          </w:tcPr>
          <w:p>
            <w:pPr>
              <w:spacing w:before="30" w:after="30"/>
              <w:jc w:val="left"/>
              <w:rPr>
                <w:rFonts w:ascii="Arial" w:hAnsi="Arial" w:cs="Arial"/>
                <w:sz w:val="18"/>
                <w:szCs w:val="18"/>
              </w:rPr>
            </w:pPr>
            <w:r>
              <w:rPr>
                <w:rFonts w:ascii="Arial" w:hAnsi="Arial" w:cs="Arial"/>
                <w:sz w:val="18"/>
                <w:szCs w:val="18"/>
              </w:rPr>
              <w:t xml:space="preserve">Does a climate-driven market change affect inputs or outputs?</w:t>
            </w:r>
          </w:p>
        </w:tc>
        <w:tc>
          <w:tcPr>
            <w:tcW w:w="3028" w:type="dxa"/>
            <w:vAlign w:val="center"/>
          </w:tcPr>
          <w:p>
            <w:pPr>
              <w:spacing w:before="30" w:after="30"/>
              <w:jc w:val="left"/>
              <w:rPr>
                <w:rFonts w:ascii="Arial" w:hAnsi="Arial" w:cs="Arial"/>
                <w:sz w:val="18"/>
                <w:szCs w:val="18"/>
              </w:rPr>
            </w:pPr>
            <w:r>
              <w:rPr>
                <w:rFonts w:ascii="Arial" w:hAnsi="Arial" w:cs="Arial"/>
                <w:sz w:val="18"/>
                <w:szCs w:val="18"/>
              </w:rPr>
              <w:t xml:space="preserve">Recyclate price and availability data; waste contractor notices</w:t>
            </w:r>
          </w:p>
        </w:tc>
        <w:tc>
          <w:tcPr>
            <w:tcW w:w="908" w:type="dxa"/>
            <w:vAlign w:val="center"/>
          </w:tcPr>
          <w:p>
            <w:pPr>
              <w:spacing w:before="30" w:after="30"/>
              <w:jc w:val="left"/>
              <w:rPr>
                <w:rFonts w:ascii="Arial" w:hAnsi="Arial" w:cs="Arial"/>
                <w:sz w:val="18"/>
                <w:szCs w:val="18"/>
              </w:rPr>
            </w:pPr>
            <w:r>
              <w:rPr>
                <w:rFonts w:ascii="Arial" w:hAnsi="Arial" w:cs="Arial"/>
                <w:sz w:val="18"/>
                <w:szCs w:val="18"/>
              </w:rPr>
              <w:t xml:space="preserve">No</w:t>
            </w:r>
          </w:p>
        </w:tc>
        <w:tc>
          <w:tcPr>
            <w:tcW w:w="4088" w:type="dxa"/>
            <w:vAlign w:val="center"/>
          </w:tcPr>
          <w:p>
            <w:pPr>
              <w:spacing w:before="30" w:after="30"/>
              <w:jc w:val="left"/>
              <w:rPr>
                <w:rFonts w:ascii="Arial" w:hAnsi="Arial" w:cs="Arial"/>
                <w:sz w:val="18"/>
                <w:szCs w:val="18"/>
              </w:rPr>
            </w:pPr>
            <w:r>
              <w:rPr>
                <w:rFonts w:ascii="Arial" w:hAnsi="Arial" w:cs="Arial"/>
                <w:sz w:val="18"/>
                <w:szCs w:val="18"/>
              </w:rPr>
              <w:t xml:space="preserve">The site uses virgin fibre board and virgin polymer film for all current food contact structures; recyclate is not an input today. Reviewed annually because the recycled-content opportunity OPP-03 would change this answer.</w:t>
            </w:r>
          </w:p>
        </w:tc>
        <w:tc>
          <w:tcPr>
            <w:tcW w:w="2574" w:type="dxa"/>
            <w:vAlign w:val="center"/>
          </w:tcPr>
          <w:p>
            <w:pPr>
              <w:spacing w:before="30" w:after="30"/>
              <w:jc w:val="left"/>
              <w:rPr>
                <w:rFonts w:ascii="Arial" w:hAnsi="Arial" w:cs="Arial"/>
                <w:sz w:val="18"/>
                <w:szCs w:val="18"/>
              </w:rPr>
            </w:pPr>
            <w:r>
              <w:rPr>
                <w:rFonts w:ascii="Arial" w:hAnsi="Arial" w:cs="Arial"/>
                <w:sz w:val="18"/>
                <w:szCs w:val="18"/>
              </w:rPr>
              <w:t xml:space="preserve">Not carried; re-test at next review</w:t>
            </w:r>
          </w:p>
        </w:tc>
      </w:tr>
    </w:tbl>
    <w:p>
      <w:pPr>
        <w:spacing w:before="0" w:after="120"/>
      </w:pPr>
    </w:p>
    <w:p>
      <w:pPr>
        <w:spacing w:before="120" w:after="60"/>
        <w:jc w:val="both"/>
        <w:rPr>
          <w:rFonts w:ascii="Arial" w:hAnsi="Arial" w:cs="Arial"/>
          <w:b/>
          <w:bCs/>
          <w:sz w:val="22"/>
          <w:szCs w:val="22"/>
        </w:rPr>
      </w:pPr>
      <w:r>
        <w:rPr>
          <w:rFonts w:ascii="Arial" w:hAnsi="Arial" w:cs="Arial"/>
          <w:b/>
          <w:bCs/>
          <w:sz w:val="22"/>
          <w:szCs w:val="22"/>
        </w:rPr>
        <w:t xml:space="preserve">Overall determination</w:t>
      </w: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5140" w:type="dxa"/>
      </w:tblPr>
      <w:tblGrid>
        <w:gridCol w:w="4845"/>
        <w:gridCol w:w="10295"/>
      </w:tblGrid>
      <w:tr>
        <w:trPr>
          <w:tblHeader/>
          <w:cantSplit/>
        </w:trPr>
        <w:tc>
          <w:tcPr>
            <w:tcW w:w="4845"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Question</w:t>
            </w:r>
          </w:p>
        </w:tc>
        <w:tc>
          <w:tcPr>
            <w:tcW w:w="10295" w:type="dxa"/>
            <w:shd w:val="clear" w:color="auto" w:fill="D5DCE4"/>
            <w:vAlign w:val="center"/>
          </w:tcPr>
          <w:p>
            <w:pPr>
              <w:spacing w:before="30" w:after="30"/>
              <w:jc w:val="left"/>
              <w:rPr>
                <w:rFonts w:ascii="Arial" w:hAnsi="Arial" w:cs="Arial"/>
                <w:b/>
                <w:bCs/>
                <w:sz w:val="18"/>
                <w:szCs w:val="18"/>
              </w:rPr>
            </w:pPr>
            <w:r>
              <w:rPr>
                <w:rFonts w:ascii="Arial" w:hAnsi="Arial" w:cs="Arial"/>
                <w:b/>
                <w:bCs/>
                <w:sz w:val="18"/>
                <w:szCs w:val="18"/>
              </w:rPr>
              <w:t xml:space="preserve">Determination</w:t>
            </w:r>
          </w:p>
        </w:tc>
      </w:tr>
      <w:tr>
        <w:tc>
          <w:tcPr>
            <w:tcW w:w="4845" w:type="dxa"/>
            <w:vAlign w:val="center"/>
          </w:tcPr>
          <w:p>
            <w:pPr>
              <w:spacing w:before="30" w:after="30"/>
              <w:jc w:val="left"/>
              <w:rPr>
                <w:rFonts w:ascii="Arial" w:hAnsi="Arial" w:cs="Arial"/>
                <w:sz w:val="18"/>
                <w:szCs w:val="18"/>
              </w:rPr>
            </w:pPr>
            <w:r>
              <w:rPr>
                <w:rFonts w:ascii="Arial" w:hAnsi="Arial" w:cs="Arial"/>
                <w:sz w:val="18"/>
                <w:szCs w:val="18"/>
              </w:rPr>
              <w:t xml:space="preserve">Is climate change a relevant issue for this Quality Management System (ISO 9001:2026 clause 4.1)?</w:t>
            </w:r>
          </w:p>
        </w:tc>
        <w:tc>
          <w:tcPr>
            <w:tcW w:w="10295" w:type="dxa"/>
            <w:vAlign w:val="center"/>
          </w:tcPr>
          <w:p>
            <w:pPr>
              <w:spacing w:before="30" w:after="30"/>
              <w:jc w:val="left"/>
              <w:rPr>
                <w:rFonts w:ascii="Arial" w:hAnsi="Arial" w:cs="Arial"/>
                <w:sz w:val="18"/>
                <w:szCs w:val="18"/>
              </w:rPr>
            </w:pPr>
            <w:r>
              <w:rPr>
                <w:rFonts w:ascii="Arial" w:hAnsi="Arial" w:cs="Arial"/>
                <w:sz w:val="18"/>
                <w:szCs w:val="18"/>
              </w:rPr>
              <w:t xml:space="preserve">YES. Seven of the eight pathways above are relevant in whole or in part. The relevant issues are carried to RA 4.1 Context Risk Assessment and to CF 6.1.1 and CF 6.1.2 and are reviewed as inputs to management review under PRO 9.3.</w:t>
            </w:r>
          </w:p>
        </w:tc>
      </w:tr>
      <w:tr>
        <w:tc>
          <w:tcPr>
            <w:tcW w:w="4845" w:type="dxa"/>
            <w:vAlign w:val="center"/>
          </w:tcPr>
          <w:p>
            <w:pPr>
              <w:spacing w:before="30" w:after="30"/>
              <w:jc w:val="left"/>
              <w:rPr>
                <w:rFonts w:ascii="Arial" w:hAnsi="Arial" w:cs="Arial"/>
                <w:sz w:val="18"/>
                <w:szCs w:val="18"/>
              </w:rPr>
            </w:pPr>
            <w:r>
              <w:rPr>
                <w:rFonts w:ascii="Arial" w:hAnsi="Arial" w:cs="Arial"/>
                <w:sz w:val="18"/>
                <w:szCs w:val="18"/>
              </w:rPr>
              <w:t xml:space="preserve">Date of determination</w:t>
            </w:r>
          </w:p>
        </w:tc>
        <w:tc>
          <w:tcPr>
            <w:tcW w:w="10295" w:type="dxa"/>
            <w:vAlign w:val="center"/>
          </w:tcPr>
          <w:p>
            <w:pPr>
              <w:spacing w:before="30" w:after="30"/>
              <w:jc w:val="left"/>
              <w:rPr>
                <w:rFonts w:ascii="Arial" w:hAnsi="Arial" w:cs="Arial"/>
                <w:sz w:val="18"/>
                <w:szCs w:val="18"/>
              </w:rPr>
            </w:pPr>
            <w:r>
              <w:rPr>
                <w:rFonts w:ascii="Arial" w:hAnsi="Arial" w:cs="Arial"/>
                <w:sz w:val="18"/>
                <w:szCs w:val="18"/>
              </w:rPr>
              <w:t xml:space="preserve">01 Sep 2026</w:t>
            </w:r>
          </w:p>
        </w:tc>
      </w:tr>
      <w:tr>
        <w:tc>
          <w:tcPr>
            <w:tcW w:w="4845" w:type="dxa"/>
            <w:vAlign w:val="center"/>
          </w:tcPr>
          <w:p>
            <w:pPr>
              <w:spacing w:before="30" w:after="30"/>
              <w:jc w:val="left"/>
              <w:rPr>
                <w:rFonts w:ascii="Arial" w:hAnsi="Arial" w:cs="Arial"/>
                <w:sz w:val="18"/>
                <w:szCs w:val="18"/>
              </w:rPr>
            </w:pPr>
            <w:r>
              <w:rPr>
                <w:rFonts w:ascii="Arial" w:hAnsi="Arial" w:cs="Arial"/>
                <w:sz w:val="18"/>
                <w:szCs w:val="18"/>
              </w:rPr>
              <w:t xml:space="preserve">Next determination due</w:t>
            </w:r>
          </w:p>
        </w:tc>
        <w:tc>
          <w:tcPr>
            <w:tcW w:w="10295" w:type="dxa"/>
            <w:vAlign w:val="center"/>
          </w:tcPr>
          <w:p>
            <w:pPr>
              <w:spacing w:before="30" w:after="30"/>
              <w:jc w:val="left"/>
              <w:rPr>
                <w:rFonts w:ascii="Arial" w:hAnsi="Arial" w:cs="Arial"/>
                <w:sz w:val="18"/>
                <w:szCs w:val="18"/>
              </w:rPr>
            </w:pPr>
            <w:r>
              <w:rPr>
                <w:rFonts w:ascii="Arial" w:hAnsi="Arial" w:cs="Arial"/>
                <w:sz w:val="18"/>
                <w:szCs w:val="18"/>
              </w:rPr>
              <w:t xml:space="preserve">01 Sep 2027, or earlier on a climate-driven disruption</w:t>
            </w:r>
          </w:p>
        </w:tc>
      </w:tr>
    </w:tbl>
    <w:p>
      <w:pPr>
        <w:spacing w:before="0" w:after="120"/>
      </w:pPr>
    </w:p>
    <w:tbl>
      <w:tblPr>
        <w:tblStyle w:val="TableGri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W w:w="15140" w:type="dxa"/>
      </w:tblPr>
      <w:tblGrid>
        <w:gridCol w:w="6056"/>
        <w:gridCol w:w="3634"/>
        <w:gridCol w:w="3331"/>
        <w:gridCol w:w="2119"/>
      </w:tblGrid>
      <w:tr>
        <w:trPr>
          <w:tblHeader/>
          <w:cantSplit/>
        </w:trPr>
        <w:tc>
          <w:tcPr>
            <w:tcW w:w="6056"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Role</w:t>
            </w:r>
          </w:p>
        </w:tc>
        <w:tc>
          <w:tcPr>
            <w:tcW w:w="3634"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Name</w:t>
            </w:r>
          </w:p>
        </w:tc>
        <w:tc>
          <w:tcPr>
            <w:tcW w:w="3331"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Signature</w:t>
            </w:r>
          </w:p>
        </w:tc>
        <w:tc>
          <w:tcPr>
            <w:tcW w:w="2119" w:type="dxa"/>
            <w:shd w:val="clear" w:color="auto" w:fill="D5DCE4"/>
            <w:vAlign w:val="center"/>
          </w:tcPr>
          <w:p>
            <w:pPr>
              <w:spacing w:before="30" w:after="30"/>
              <w:jc w:val="left"/>
              <w:rPr>
                <w:rFonts w:ascii="Arial" w:hAnsi="Arial" w:cs="Arial"/>
                <w:b/>
                <w:bCs/>
                <w:sz w:val="20"/>
                <w:szCs w:val="20"/>
              </w:rPr>
            </w:pPr>
            <w:r>
              <w:rPr>
                <w:rFonts w:ascii="Arial" w:hAnsi="Arial" w:cs="Arial"/>
                <w:b/>
                <w:bCs/>
                <w:sz w:val="20"/>
                <w:szCs w:val="20"/>
              </w:rPr>
              <w:t xml:space="preserve">Date</w:t>
            </w:r>
          </w:p>
        </w:tc>
      </w:tr>
      <w:tr>
        <w:tc>
          <w:tcPr>
            <w:tcW w:w="6056" w:type="dxa"/>
            <w:vAlign w:val="center"/>
          </w:tcPr>
          <w:p>
            <w:pPr>
              <w:spacing w:before="30" w:after="30"/>
              <w:jc w:val="left"/>
              <w:rPr>
                <w:rFonts w:ascii="Arial" w:hAnsi="Arial" w:cs="Arial"/>
                <w:sz w:val="20"/>
                <w:szCs w:val="20"/>
              </w:rPr>
            </w:pPr>
            <w:r>
              <w:rPr>
                <w:rFonts w:ascii="Arial" w:hAnsi="Arial" w:cs="Arial"/>
                <w:sz w:val="20"/>
                <w:szCs w:val="20"/>
              </w:rPr>
              <w:t xml:space="preserve">Prepared by - ASC Food Safety Consultants</w:t>
            </w:r>
          </w:p>
        </w:tc>
        <w:tc>
          <w:tcPr>
            <w:tcW w:w="3634"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3331"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119" w:type="dxa"/>
            <w:vAlign w:val="center"/>
          </w:tcPr>
          <w:p>
            <w:pPr>
              <w:spacing w:before="30" w:after="30"/>
              <w:jc w:val="left"/>
              <w:rPr>
                <w:rFonts w:ascii="Arial" w:hAnsi="Arial" w:cs="Arial"/>
                <w:sz w:val="20"/>
                <w:szCs w:val="20"/>
              </w:rPr>
            </w:pPr>
            <w:r>
              <w:rPr>
                <w:rFonts w:ascii="Arial" w:hAnsi="Arial" w:cs="Arial"/>
                <w:sz w:val="20"/>
                <w:szCs w:val="20"/>
              </w:rPr>
              <w:t xml:space="preserve"/>
            </w:r>
          </w:p>
        </w:tc>
      </w:tr>
      <w:tr>
        <w:tc>
          <w:tcPr>
            <w:tcW w:w="6056" w:type="dxa"/>
            <w:vAlign w:val="center"/>
          </w:tcPr>
          <w:p>
            <w:pPr>
              <w:spacing w:before="30" w:after="30"/>
              <w:jc w:val="left"/>
              <w:rPr>
                <w:rFonts w:ascii="Arial" w:hAnsi="Arial" w:cs="Arial"/>
                <w:sz w:val="20"/>
                <w:szCs w:val="20"/>
              </w:rPr>
            </w:pPr>
            <w:r>
              <w:rPr>
                <w:rFonts w:ascii="Arial" w:hAnsi="Arial" w:cs="Arial"/>
                <w:sz w:val="20"/>
                <w:szCs w:val="20"/>
              </w:rPr>
              <w:t xml:space="preserve">Reviewed by - Process owner named in the control table above</w:t>
            </w:r>
          </w:p>
        </w:tc>
        <w:tc>
          <w:tcPr>
            <w:tcW w:w="3634"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3331"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119" w:type="dxa"/>
            <w:vAlign w:val="center"/>
          </w:tcPr>
          <w:p>
            <w:pPr>
              <w:spacing w:before="30" w:after="30"/>
              <w:jc w:val="left"/>
              <w:rPr>
                <w:rFonts w:ascii="Arial" w:hAnsi="Arial" w:cs="Arial"/>
                <w:sz w:val="20"/>
                <w:szCs w:val="20"/>
              </w:rPr>
            </w:pPr>
            <w:r>
              <w:rPr>
                <w:rFonts w:ascii="Arial" w:hAnsi="Arial" w:cs="Arial"/>
                <w:sz w:val="20"/>
                <w:szCs w:val="20"/>
              </w:rPr>
              <w:t xml:space="preserve"/>
            </w:r>
          </w:p>
        </w:tc>
      </w:tr>
      <w:tr>
        <w:tc>
          <w:tcPr>
            <w:tcW w:w="6056" w:type="dxa"/>
            <w:vAlign w:val="center"/>
          </w:tcPr>
          <w:p>
            <w:pPr>
              <w:spacing w:before="30" w:after="30"/>
              <w:jc w:val="left"/>
              <w:rPr>
                <w:rFonts w:ascii="Arial" w:hAnsi="Arial" w:cs="Arial"/>
                <w:sz w:val="20"/>
                <w:szCs w:val="20"/>
              </w:rPr>
            </w:pPr>
            <w:r>
              <w:rPr>
                <w:rFonts w:ascii="Arial" w:hAnsi="Arial" w:cs="Arial"/>
                <w:sz w:val="20"/>
                <w:szCs w:val="20"/>
              </w:rPr>
              <w:t xml:space="preserve">Approved by - Quality Manager (QMR)</w:t>
            </w:r>
          </w:p>
        </w:tc>
        <w:tc>
          <w:tcPr>
            <w:tcW w:w="3634"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3331" w:type="dxa"/>
            <w:vAlign w:val="center"/>
          </w:tcPr>
          <w:p>
            <w:pPr>
              <w:spacing w:before="30" w:after="30"/>
              <w:jc w:val="left"/>
              <w:rPr>
                <w:rFonts w:ascii="Arial" w:hAnsi="Arial" w:cs="Arial"/>
                <w:sz w:val="20"/>
                <w:szCs w:val="20"/>
              </w:rPr>
            </w:pPr>
            <w:r>
              <w:rPr>
                <w:rFonts w:ascii="Arial" w:hAnsi="Arial" w:cs="Arial"/>
                <w:sz w:val="20"/>
                <w:szCs w:val="20"/>
              </w:rPr>
              <w:t xml:space="preserve"/>
            </w:r>
          </w:p>
        </w:tc>
        <w:tc>
          <w:tcPr>
            <w:tcW w:w="2119" w:type="dxa"/>
            <w:vAlign w:val="center"/>
          </w:tcPr>
          <w:p>
            <w:pPr>
              <w:spacing w:before="30" w:after="30"/>
              <w:jc w:val="left"/>
              <w:rPr>
                <w:rFonts w:ascii="Arial" w:hAnsi="Arial" w:cs="Arial"/>
                <w:sz w:val="20"/>
                <w:szCs w:val="20"/>
              </w:rPr>
            </w:pPr>
            <w:r>
              <w:rPr>
                <w:rFonts w:ascii="Arial" w:hAnsi="Arial" w:cs="Arial"/>
                <w:sz w:val="20"/>
                <w:szCs w:val="20"/>
              </w:rPr>
              <w:t xml:space="preserve"/>
            </w:r>
          </w:p>
        </w:tc>
      </w:tr>
    </w:tbl>
    <w:p>
      <w:pPr>
        <w:spacing w:before="0" w:after="120"/>
      </w:pPr>
    </w:p>
    <w:sectPr w:rsidR="0047338B" w:rsidRPr="00996343" w:rsidSect="003A7945">
      <w:headerReference w:type="default" r:id="rId8"/>
      <w:type w:val="continuous"/>
      <w:pgSz w:w="16840" w:h="11907" w:code="9" w:orient="landscape"/>
      <w:pgMar w:top="567" w:right="850" w:bottom="567" w:left="850" w:header="567" w:footer="284" w:gutter="284"/>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3E41D" w14:textId="77777777" w:rsidR="004356C6" w:rsidRDefault="004356C6" w:rsidP="00AA32BC">
      <w:r>
        <w:separator/>
      </w:r>
    </w:p>
  </w:endnote>
  <w:endnote w:type="continuationSeparator" w:id="0">
    <w:p w14:paraId="5D18E954" w14:textId="77777777" w:rsidR="004356C6" w:rsidRDefault="004356C6" w:rsidP="00AA3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A0998C" w14:textId="77777777" w:rsidR="004356C6" w:rsidRDefault="004356C6" w:rsidP="00AA32BC">
      <w:r>
        <w:separator/>
      </w:r>
    </w:p>
  </w:footnote>
  <w:footnote w:type="continuationSeparator" w:id="0">
    <w:p w14:paraId="16D9DF7C" w14:textId="77777777" w:rsidR="004356C6" w:rsidRDefault="004356C6" w:rsidP="00AA32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5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8"/>
      <w:gridCol w:w="5528"/>
      <w:gridCol w:w="4094"/>
      <w:gridCol w:w="2251"/>
    </w:tblGrid>
    <w:tr w:rsidR="00871814" w:rsidRPr="00871814" w14:paraId="02C9E39E" w14:textId="77777777" w:rsidTr="009F616E">
      <w:trPr>
        <w:cantSplit/>
        <w:trHeight w:hRule="atLeast" w:val="1077"/>
      </w:trPr>
      <w:tc>
        <w:tcPr>
          <w:tcW w:w="3268" w:type="dxa"/>
          <w:shd w:val="clear" w:color="auto" w:fill="FFFFFF"/>
          <w:vAlign w:val="center"/>
          <w:hideMark/>
        </w:tcPr>
        <w:p w14:paraId="58AA9BC5" w14:textId="77777777" w:rsidR="00871814" w:rsidRPr="00871814" w:rsidRDefault="00871814" w:rsidP="00871814">
          <w:pPr>
            <w:keepNext/>
            <w:suppressAutoHyphens/>
            <w:spacing w:before="60" w:after="60"/>
            <w:jc w:val="center"/>
            <w:outlineLvl w:val="0"/>
            <w:rPr>
              <w:rFonts w:ascii="Arial" w:hAnsi="Arial" w:cs="Arial"/>
              <w:b/>
              <w:caps/>
              <w:kern w:val="28"/>
              <w:sz w:val="22"/>
              <w:szCs w:val="22"/>
            </w:rPr>
          </w:pPr>
          <w:bookmarkStart w:id="0" w:name="_Hlk86315428"/>
          <w:r w:rsidRPr="00871814">
            <w:rPr>
              <w:rFonts w:ascii="Arial" w:hAnsi="Arial" w:cs="Arial"/>
              <w:b/>
              <w:caps/>
              <w:kern w:val="28"/>
              <w:sz w:val="22"/>
              <w:szCs w:val="22"/>
            </w:rPr>
            <w:t>LOGO</w:t>
          </w:r>
        </w:p>
      </w:tc>
      <w:tc>
        <w:tcPr>
          <w:tcW w:w="5528" w:type="dxa"/>
          <w:shd w:val="clear" w:color="auto" w:fill="FFFFFF"/>
          <w:vAlign w:val="center"/>
          <w:hideMark/>
        </w:tcPr>
        <w:p w14:paraId="2426B2E7" w14:textId="77777777" w:rsidR="00871814" w:rsidRPr="00871814" w:rsidRDefault="00871814" w:rsidP="00871814">
          <w:pPr>
            <w:keepNext/>
            <w:spacing w:before="120" w:after="240"/>
            <w:jc w:val="center"/>
            <w:outlineLvl w:val="0"/>
            <w:rPr>
              <w:rFonts w:ascii="Arial" w:hAnsi="Arial" w:cs="Arial"/>
              <w:b/>
              <w:i/>
              <w:iCs/>
              <w:sz w:val="22"/>
              <w:szCs w:val="22"/>
            </w:rPr>
          </w:pPr>
          <w:r w:rsidRPr="00871814">
            <w:rPr>
              <w:rFonts w:ascii="Arial" w:hAnsi="Arial" w:cs="Arial"/>
              <w:b/>
              <w:i/>
              <w:iCs/>
              <w:sz w:val="22"/>
              <w:szCs w:val="22"/>
            </w:rPr>
            <w:t>[COMPANY NAME]</w:t>
          </w:r>
        </w:p>
        <w:p w14:paraId="7BAA15B1" w14:textId="77777777" w:rsidR="00871814" w:rsidRPr="00871814" w:rsidRDefault="00871814" w:rsidP="00871814">
          <w:pPr>
            <w:keepNext/>
            <w:suppressAutoHyphens/>
            <w:spacing w:before="60" w:after="60"/>
            <w:jc w:val="center"/>
            <w:outlineLvl w:val="0"/>
            <w:rPr>
              <w:rFonts w:ascii="Arial" w:hAnsi="Arial" w:cs="Arial"/>
              <w:b/>
              <w:bCs/>
              <w:sz w:val="22"/>
              <w:szCs w:val="22"/>
            </w:rPr>
          </w:pPr>
          <w:r w:rsidRPr="00871814">
            <w:rPr>
              <w:rFonts w:ascii="Arial" w:hAnsi="Arial" w:cs="Arial"/>
              <w:b/>
              <w:sz w:val="22"/>
              <w:szCs w:val="22"/>
            </w:rPr>
            <w:t>Quality Management System</w:t>
          </w:r>
        </w:p>
      </w:tc>
      <w:tc>
        <w:tcPr>
          <w:tcW w:w="4094" w:type="dxa"/>
          <w:vAlign w:val="center"/>
          <w:hideMark/>
        </w:tcPr>
        <w:p w14:paraId="470F15F8" w14:textId="4CF7E815" w:rsidR="00871814" w:rsidRPr="00871814" w:rsidRDefault="00871814" w:rsidP="00871814">
          <w:pPr>
            <w:keepNext/>
            <w:suppressAutoHyphens/>
            <w:spacing w:before="60" w:after="60"/>
            <w:outlineLvl w:val="0"/>
            <w:rPr>
              <w:rFonts w:ascii="Arial" w:hAnsi="Arial" w:cs="Arial"/>
              <w:sz w:val="22"/>
              <w:szCs w:val="22"/>
            </w:rPr>
          </w:pPr>
          <w:r w:rsidRPr="00871814">
            <w:rPr>
              <w:rFonts w:ascii="Arial" w:hAnsi="Arial" w:cs="Arial"/>
              <w:b/>
              <w:bCs/>
              <w:sz w:val="22"/>
              <w:szCs w:val="22"/>
            </w:rPr>
            <w:t>Doc No: SAMPLE CF 4.1.3</w:t>
          </w:r>
          <w:r w:rsidRPr="00871814">
            <w:rPr>
              <w:rFonts w:ascii="Arial" w:hAnsi="Arial" w:cs="Arial"/>
              <w:sz w:val="22"/>
              <w:szCs w:val="22"/>
            </w:rPr>
          </w:r>
          <w:r>
            <w:rPr>
              <w:rFonts w:ascii="Arial" w:hAnsi="Arial" w:cs="Arial"/>
              <w:sz w:val="22"/>
              <w:szCs w:val="22"/>
            </w:rPr>
          </w:r>
        </w:p>
      </w:tc>
      <w:tc>
        <w:tcPr>
          <w:tcW w:w="2251" w:type="dxa"/>
          <w:vAlign w:val="center"/>
        </w:tcPr>
        <w:p w14:paraId="28CAAFE0" w14:textId="77777777" w:rsidR="00871814" w:rsidRPr="00871814" w:rsidRDefault="00871814" w:rsidP="00871814">
          <w:pPr>
            <w:keepNext/>
            <w:suppressAutoHyphens/>
            <w:spacing w:before="60" w:after="60"/>
            <w:outlineLvl w:val="0"/>
            <w:rPr>
              <w:rFonts w:ascii="Arial" w:hAnsi="Arial" w:cs="Arial"/>
              <w:sz w:val="22"/>
              <w:szCs w:val="22"/>
            </w:rPr>
          </w:pPr>
          <w:r w:rsidRPr="00871814">
            <w:rPr>
              <w:rFonts w:ascii="Arial" w:hAnsi="Arial" w:cs="Arial"/>
              <w:sz w:val="22"/>
              <w:szCs w:val="22"/>
            </w:rPr>
            <w:t xml:space="preserve">Page </w:t>
          </w:r>
          <w:r w:rsidRPr="00871814">
            <w:rPr>
              <w:rFonts w:ascii="Arial" w:hAnsi="Arial" w:cs="Arial"/>
              <w:noProof/>
              <w:sz w:val="22"/>
              <w:szCs w:val="22"/>
            </w:rPr>
            <w:fldChar w:fldCharType="begin"/>
          </w:r>
          <w:r w:rsidRPr="00871814">
            <w:rPr>
              <w:rFonts w:ascii="Arial" w:hAnsi="Arial" w:cs="Arial"/>
              <w:noProof/>
              <w:sz w:val="22"/>
              <w:szCs w:val="22"/>
            </w:rPr>
            <w:instrText xml:space="preserve"> PAGE </w:instrText>
          </w:r>
          <w:r w:rsidRPr="00871814">
            <w:rPr>
              <w:rFonts w:ascii="Arial" w:hAnsi="Arial" w:cs="Arial"/>
              <w:noProof/>
              <w:sz w:val="22"/>
              <w:szCs w:val="22"/>
            </w:rPr>
            <w:fldChar w:fldCharType="separate"/>
          </w:r>
          <w:r w:rsidRPr="00871814">
            <w:rPr>
              <w:rFonts w:ascii="Arial" w:hAnsi="Arial" w:cs="Arial"/>
              <w:noProof/>
              <w:sz w:val="22"/>
              <w:szCs w:val="22"/>
            </w:rPr>
            <w:t>3</w:t>
          </w:r>
          <w:r w:rsidRPr="00871814">
            <w:rPr>
              <w:rFonts w:ascii="Arial" w:hAnsi="Arial" w:cs="Arial"/>
              <w:noProof/>
              <w:sz w:val="22"/>
              <w:szCs w:val="22"/>
            </w:rPr>
            <w:fldChar w:fldCharType="end"/>
          </w:r>
          <w:r w:rsidRPr="00871814">
            <w:rPr>
              <w:rFonts w:ascii="Arial" w:hAnsi="Arial" w:cs="Arial"/>
              <w:sz w:val="22"/>
              <w:szCs w:val="22"/>
            </w:rPr>
            <w:t xml:space="preserve"> of </w:t>
          </w:r>
          <w:r w:rsidRPr="00871814">
            <w:rPr>
              <w:rFonts w:ascii="Arial" w:hAnsi="Arial" w:cs="Arial"/>
              <w:noProof/>
              <w:sz w:val="22"/>
              <w:szCs w:val="22"/>
            </w:rPr>
            <w:fldChar w:fldCharType="begin"/>
          </w:r>
          <w:r w:rsidRPr="00871814">
            <w:rPr>
              <w:rFonts w:ascii="Arial" w:hAnsi="Arial" w:cs="Arial"/>
              <w:noProof/>
              <w:sz w:val="22"/>
              <w:szCs w:val="22"/>
            </w:rPr>
            <w:instrText xml:space="preserve"> NUMPAGES  </w:instrText>
          </w:r>
          <w:r w:rsidRPr="00871814">
            <w:rPr>
              <w:rFonts w:ascii="Arial" w:hAnsi="Arial" w:cs="Arial"/>
              <w:noProof/>
              <w:sz w:val="22"/>
              <w:szCs w:val="22"/>
            </w:rPr>
            <w:fldChar w:fldCharType="separate"/>
          </w:r>
          <w:r w:rsidRPr="00871814">
            <w:rPr>
              <w:rFonts w:ascii="Arial" w:hAnsi="Arial" w:cs="Arial"/>
              <w:noProof/>
              <w:sz w:val="22"/>
              <w:szCs w:val="22"/>
            </w:rPr>
            <w:t>40</w:t>
          </w:r>
          <w:r w:rsidRPr="00871814">
            <w:rPr>
              <w:rFonts w:ascii="Arial" w:hAnsi="Arial" w:cs="Arial"/>
              <w:noProof/>
              <w:sz w:val="22"/>
              <w:szCs w:val="22"/>
            </w:rPr>
            <w:fldChar w:fldCharType="end"/>
          </w:r>
        </w:p>
      </w:tc>
    </w:tr>
    <w:tr w:rsidR="00871814" w:rsidRPr="00871814" w14:paraId="797FE9DF" w14:textId="77777777" w:rsidTr="00E23946">
      <w:trPr>
        <w:cantSplit/>
        <w:trHeight w:val="397"/>
      </w:trPr>
      <w:tc>
        <w:tcPr>
          <w:tcW w:w="15140" w:type="dxa"/>
          <w:gridSpan w:val="4"/>
          <w:vAlign w:val="center"/>
          <w:hideMark/>
        </w:tcPr>
        <w:p w14:paraId="162DE391" w14:textId="2EFC9BDF" w:rsidR="00871814" w:rsidRPr="00871814" w:rsidRDefault="00871814" w:rsidP="00871814">
          <w:pPr>
            <w:keepNext/>
            <w:suppressAutoHyphens/>
            <w:spacing w:before="60" w:after="60"/>
            <w:outlineLvl w:val="1"/>
            <w:rPr>
              <w:rFonts w:ascii="Arial" w:hAnsi="Arial" w:cs="Arial"/>
              <w:sz w:val="22"/>
              <w:szCs w:val="22"/>
            </w:rPr>
          </w:pPr>
          <w:r w:rsidRPr="00871814">
            <w:rPr>
              <w:rFonts w:ascii="Arial" w:hAnsi="Arial" w:cs="Arial"/>
              <w:b/>
              <w:bCs/>
              <w:sz w:val="22"/>
              <w:szCs w:val="22"/>
            </w:rPr>
            <w:t>Subject: Climate Change Relevance Determination   -   SAMPLE, NOT FOR USE IN A LIVE SYSTEM</w:t>
          </w:r>
          <w:r w:rsidRPr="00871814">
            <w:rPr>
              <w:rFonts w:ascii="Arial" w:hAnsi="Arial" w:cs="Arial"/>
              <w:sz w:val="22"/>
              <w:szCs w:val="22"/>
            </w:rPr>
          </w:r>
          <w:r w:rsidRPr="00871814">
            <w:rPr>
              <w:rFonts w:ascii="Arial" w:hAnsi="Arial" w:cs="Arial"/>
              <w:sz w:val="22"/>
              <w:szCs w:val="22"/>
              <w:lang w:val="en-GB"/>
            </w:rPr>
          </w:r>
        </w:p>
      </w:tc>
    </w:tr>
    <w:tr w:rsidR="00871814" w:rsidRPr="00871814" w14:paraId="309A7B80" w14:textId="77777777" w:rsidTr="009F616E">
      <w:trPr>
        <w:cantSplit/>
        <w:trHeight w:hRule="atLeast" w:val="624"/>
      </w:trPr>
      <w:tc>
        <w:tcPr>
          <w:tcW w:w="3268" w:type="dxa"/>
          <w:vAlign w:val="center"/>
          <w:hideMark/>
        </w:tcPr>
        <w:p w14:paraId="3B3C09B2" w14:textId="77777777" w:rsidR="00871814" w:rsidRPr="00871814" w:rsidRDefault="00871814" w:rsidP="00871814">
          <w:pPr>
            <w:keepNext/>
            <w:suppressAutoHyphens/>
            <w:spacing w:before="60" w:after="60"/>
            <w:outlineLvl w:val="2"/>
            <w:rPr>
              <w:rFonts w:ascii="Arial" w:hAnsi="Arial" w:cs="Arial"/>
              <w:bCs/>
              <w:sz w:val="22"/>
              <w:szCs w:val="22"/>
            </w:rPr>
          </w:pPr>
          <w:r w:rsidRPr="00871814">
            <w:rPr>
              <w:rFonts w:ascii="Arial" w:hAnsi="Arial" w:cs="Arial"/>
              <w:b/>
              <w:bCs/>
              <w:sz w:val="22"/>
              <w:szCs w:val="22"/>
            </w:rPr>
            <w:t>Compiled by: ASC Food Safety Consultants</w:t>
          </w:r>
          <w:r w:rsidRPr="00871814">
            <w:rPr>
              <w:rFonts w:ascii="Arial" w:hAnsi="Arial" w:cs="Arial"/>
              <w:sz w:val="22"/>
              <w:szCs w:val="22"/>
            </w:rPr>
          </w:r>
        </w:p>
      </w:tc>
      <w:tc>
        <w:tcPr>
          <w:tcW w:w="5528" w:type="dxa"/>
          <w:vAlign w:val="center"/>
          <w:hideMark/>
        </w:tcPr>
        <w:p w14:paraId="094CCAE8" w14:textId="77777777" w:rsidR="00871814" w:rsidRPr="00871814" w:rsidRDefault="00871814" w:rsidP="00871814">
          <w:pPr>
            <w:keepNext/>
            <w:suppressAutoHyphens/>
            <w:spacing w:before="60" w:after="60"/>
            <w:outlineLvl w:val="2"/>
            <w:rPr>
              <w:rFonts w:ascii="Arial" w:hAnsi="Arial" w:cs="Arial"/>
              <w:sz w:val="22"/>
              <w:szCs w:val="22"/>
            </w:rPr>
          </w:pPr>
          <w:r w:rsidRPr="00871814">
            <w:rPr>
              <w:rFonts w:ascii="Arial" w:hAnsi="Arial" w:cs="Arial"/>
              <w:b/>
              <w:bCs/>
              <w:sz w:val="22"/>
              <w:szCs w:val="22"/>
            </w:rPr>
            <w:t>Approved by: Quality Manager (QMR)</w:t>
          </w:r>
          <w:r w:rsidRPr="00871814">
            <w:rPr>
              <w:rFonts w:ascii="Arial" w:hAnsi="Arial" w:cs="Arial"/>
              <w:sz w:val="22"/>
              <w:szCs w:val="22"/>
            </w:rPr>
          </w:r>
          <w:r w:rsidRPr="00871814">
            <w:rPr>
              <w:rFonts w:ascii="Arial" w:hAnsi="Arial" w:cs="Arial"/>
              <w:b/>
              <w:bCs/>
              <w:sz w:val="22"/>
              <w:szCs w:val="22"/>
            </w:rPr>
          </w:r>
          <w:r w:rsidRPr="00871814">
            <w:rPr>
              <w:rFonts w:ascii="Arial" w:hAnsi="Arial" w:cs="Arial"/>
              <w:sz w:val="22"/>
              <w:szCs w:val="22"/>
            </w:rPr>
          </w:r>
        </w:p>
      </w:tc>
      <w:tc>
        <w:tcPr>
          <w:tcW w:w="4094" w:type="dxa"/>
          <w:vAlign w:val="center"/>
          <w:hideMark/>
        </w:tcPr>
        <w:p w14:paraId="6210E691" w14:textId="0CF8BC7B" w:rsidR="00871814" w:rsidRPr="00871814" w:rsidRDefault="00871814" w:rsidP="00871814">
          <w:pPr>
            <w:keepNext/>
            <w:suppressAutoHyphens/>
            <w:spacing w:before="60" w:after="60"/>
            <w:outlineLvl w:val="2"/>
            <w:rPr>
              <w:rFonts w:ascii="Arial" w:hAnsi="Arial" w:cs="Arial"/>
              <w:bCs/>
              <w:sz w:val="22"/>
              <w:szCs w:val="22"/>
            </w:rPr>
          </w:pPr>
          <w:r w:rsidRPr="00871814">
            <w:rPr>
              <w:rFonts w:ascii="Arial" w:hAnsi="Arial" w:cs="Arial"/>
              <w:b/>
              <w:bCs/>
              <w:sz w:val="22"/>
              <w:szCs w:val="22"/>
            </w:rPr>
            <w:t>Date: 01 Sep 2026</w:t>
          </w:r>
          <w:r w:rsidRPr="00871814">
            <w:rPr>
              <w:rFonts w:ascii="Arial" w:hAnsi="Arial" w:cs="Arial"/>
              <w:sz w:val="22"/>
              <w:szCs w:val="22"/>
            </w:rPr>
          </w:r>
          <w:r w:rsidR="009F616E" w:rsidRPr="009F616E">
            <w:rPr>
              <w:rFonts w:ascii="Arial" w:hAnsi="Arial" w:cs="Arial"/>
              <w:sz w:val="22"/>
              <w:szCs w:val="22"/>
            </w:rPr>
          </w:r>
        </w:p>
      </w:tc>
      <w:tc>
        <w:tcPr>
          <w:tcW w:w="2251" w:type="dxa"/>
          <w:vAlign w:val="center"/>
        </w:tcPr>
        <w:p w14:paraId="3D6A4309" w14:textId="16BFD09B" w:rsidR="00871814" w:rsidRPr="00871814" w:rsidRDefault="00871814" w:rsidP="00871814">
          <w:pPr>
            <w:keepNext/>
            <w:suppressAutoHyphens/>
            <w:spacing w:before="60" w:after="60"/>
            <w:outlineLvl w:val="2"/>
            <w:rPr>
              <w:rFonts w:ascii="Arial" w:hAnsi="Arial" w:cs="Arial"/>
              <w:bCs/>
              <w:sz w:val="22"/>
              <w:szCs w:val="22"/>
            </w:rPr>
          </w:pPr>
          <w:r w:rsidRPr="00871814">
            <w:rPr>
              <w:rFonts w:ascii="Arial" w:hAnsi="Arial" w:cs="Arial"/>
              <w:b/>
              <w:sz w:val="22"/>
              <w:szCs w:val="22"/>
            </w:rPr>
            <w:t>Rev no: 01</w:t>
          </w:r>
          <w:r w:rsidRPr="00871814">
            <w:rPr>
              <w:rFonts w:ascii="Arial" w:hAnsi="Arial" w:cs="Arial"/>
              <w:bCs/>
              <w:sz w:val="22"/>
              <w:szCs w:val="22"/>
            </w:rPr>
          </w:r>
          <w:r w:rsidR="009F616E">
            <w:rPr>
              <w:rFonts w:ascii="Arial" w:hAnsi="Arial" w:cs="Arial"/>
              <w:bCs/>
              <w:sz w:val="22"/>
              <w:szCs w:val="22"/>
            </w:rPr>
          </w:r>
        </w:p>
      </w:tc>
    </w:tr>
    <w:bookmarkEnd w:id="0"/>
  </w:tbl>
  <w:p w14:paraId="74FE866C" w14:textId="77777777" w:rsidR="00871814" w:rsidRDefault="00871814" w:rsidP="00871814">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B0E8D"/>
    <w:multiLevelType w:val="multilevel"/>
    <w:tmpl w:val="B872735C"/>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1" w15:restartNumberingAfterBreak="0">
    <w:nsid w:val="10914442"/>
    <w:multiLevelType w:val="multilevel"/>
    <w:tmpl w:val="94F28688"/>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2" w15:restartNumberingAfterBreak="0">
    <w:nsid w:val="3EB60317"/>
    <w:multiLevelType w:val="multilevel"/>
    <w:tmpl w:val="E064FC18"/>
    <w:lvl w:ilvl="0">
      <w:start w:val="1"/>
      <w:numFmt w:val="bullet"/>
      <w:lvlText w:val=""/>
      <w:lvlJc w:val="left"/>
      <w:pPr>
        <w:ind w:left="1778" w:hanging="360"/>
      </w:pPr>
      <w:rPr>
        <w:rFonts w:ascii="Symbol" w:hAnsi="Symbol" w:hint="default"/>
      </w:rPr>
    </w:lvl>
    <w:lvl w:ilvl="1">
      <w:start w:val="5"/>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3" w15:restartNumberingAfterBreak="0">
    <w:nsid w:val="54DD7576"/>
    <w:multiLevelType w:val="multilevel"/>
    <w:tmpl w:val="B872735C"/>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4" w15:restartNumberingAfterBreak="0">
    <w:nsid w:val="58201A22"/>
    <w:multiLevelType w:val="multilevel"/>
    <w:tmpl w:val="94F28688"/>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5" w15:restartNumberingAfterBreak="0">
    <w:nsid w:val="64206664"/>
    <w:multiLevelType w:val="multilevel"/>
    <w:tmpl w:val="94F28688"/>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6" w15:restartNumberingAfterBreak="0">
    <w:nsid w:val="6812594D"/>
    <w:multiLevelType w:val="multilevel"/>
    <w:tmpl w:val="B872735C"/>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7" w15:restartNumberingAfterBreak="0">
    <w:nsid w:val="75C84540"/>
    <w:multiLevelType w:val="multilevel"/>
    <w:tmpl w:val="E9A26A2E"/>
    <w:lvl w:ilvl="0">
      <w:start w:val="1"/>
      <w:numFmt w:val="bullet"/>
      <w:lvlText w:val=""/>
      <w:lvlJc w:val="left"/>
      <w:pPr>
        <w:ind w:left="1778" w:hanging="360"/>
      </w:pPr>
      <w:rPr>
        <w:rFonts w:ascii="Symbol" w:hAnsi="Symbol" w:hint="default"/>
        <w:b/>
      </w:rPr>
    </w:lvl>
    <w:lvl w:ilvl="1">
      <w:start w:val="1"/>
      <w:numFmt w:val="bullet"/>
      <w:lvlText w:val=""/>
      <w:lvlJc w:val="left"/>
      <w:pPr>
        <w:ind w:left="1778" w:hanging="360"/>
      </w:pPr>
      <w:rPr>
        <w:rFonts w:ascii="Symbol" w:hAnsi="Symbol" w:hint="default"/>
        <w:sz w:val="22"/>
        <w:szCs w:val="22"/>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8" w15:restartNumberingAfterBreak="0">
    <w:nsid w:val="797438B3"/>
    <w:multiLevelType w:val="multilevel"/>
    <w:tmpl w:val="E064FC18"/>
    <w:lvl w:ilvl="0">
      <w:start w:val="1"/>
      <w:numFmt w:val="bullet"/>
      <w:lvlText w:val=""/>
      <w:lvlJc w:val="left"/>
      <w:pPr>
        <w:ind w:left="1778" w:hanging="360"/>
      </w:pPr>
      <w:rPr>
        <w:rFonts w:ascii="Symbol" w:hAnsi="Symbol" w:hint="default"/>
      </w:rPr>
    </w:lvl>
    <w:lvl w:ilvl="1">
      <w:start w:val="5"/>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num w:numId="1" w16cid:durableId="154348501">
    <w:abstractNumId w:val="1"/>
  </w:num>
  <w:num w:numId="2" w16cid:durableId="1624924731">
    <w:abstractNumId w:val="3"/>
  </w:num>
  <w:num w:numId="3" w16cid:durableId="1647927511">
    <w:abstractNumId w:val="8"/>
  </w:num>
  <w:num w:numId="4" w16cid:durableId="390037252">
    <w:abstractNumId w:val="2"/>
  </w:num>
  <w:num w:numId="5" w16cid:durableId="656497453">
    <w:abstractNumId w:val="0"/>
  </w:num>
  <w:num w:numId="6" w16cid:durableId="1643387744">
    <w:abstractNumId w:val="6"/>
  </w:num>
  <w:num w:numId="7" w16cid:durableId="2041930642">
    <w:abstractNumId w:val="7"/>
  </w:num>
  <w:num w:numId="8" w16cid:durableId="195626701">
    <w:abstractNumId w:val="4"/>
  </w:num>
  <w:num w:numId="9" w16cid:durableId="789666076">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3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52F"/>
    <w:rsid w:val="00001262"/>
    <w:rsid w:val="00003C26"/>
    <w:rsid w:val="0000508E"/>
    <w:rsid w:val="00014FDF"/>
    <w:rsid w:val="00016E64"/>
    <w:rsid w:val="0003016A"/>
    <w:rsid w:val="0003637A"/>
    <w:rsid w:val="0004297E"/>
    <w:rsid w:val="0004718F"/>
    <w:rsid w:val="0005029E"/>
    <w:rsid w:val="0005731D"/>
    <w:rsid w:val="00061431"/>
    <w:rsid w:val="000626A5"/>
    <w:rsid w:val="00064263"/>
    <w:rsid w:val="0007458B"/>
    <w:rsid w:val="00083BC0"/>
    <w:rsid w:val="00085A15"/>
    <w:rsid w:val="0008648C"/>
    <w:rsid w:val="000A7958"/>
    <w:rsid w:val="000A7B51"/>
    <w:rsid w:val="000B4F02"/>
    <w:rsid w:val="000B62AE"/>
    <w:rsid w:val="000C173E"/>
    <w:rsid w:val="000C22A3"/>
    <w:rsid w:val="000C26B5"/>
    <w:rsid w:val="000F296F"/>
    <w:rsid w:val="00107B26"/>
    <w:rsid w:val="0012320D"/>
    <w:rsid w:val="00126DED"/>
    <w:rsid w:val="00126EAF"/>
    <w:rsid w:val="001508F3"/>
    <w:rsid w:val="001671AD"/>
    <w:rsid w:val="00172D5F"/>
    <w:rsid w:val="00191ED2"/>
    <w:rsid w:val="001976B4"/>
    <w:rsid w:val="00197BBF"/>
    <w:rsid w:val="001A0F18"/>
    <w:rsid w:val="001A58F3"/>
    <w:rsid w:val="001C5B77"/>
    <w:rsid w:val="001C7FA2"/>
    <w:rsid w:val="001D0A4B"/>
    <w:rsid w:val="001E60ED"/>
    <w:rsid w:val="001F28C0"/>
    <w:rsid w:val="001F68E9"/>
    <w:rsid w:val="002000DB"/>
    <w:rsid w:val="002236A0"/>
    <w:rsid w:val="00234989"/>
    <w:rsid w:val="0026024B"/>
    <w:rsid w:val="0026410F"/>
    <w:rsid w:val="0027206B"/>
    <w:rsid w:val="002759EA"/>
    <w:rsid w:val="00276DAF"/>
    <w:rsid w:val="002801DE"/>
    <w:rsid w:val="00284151"/>
    <w:rsid w:val="00290565"/>
    <w:rsid w:val="002948AE"/>
    <w:rsid w:val="002B3C6C"/>
    <w:rsid w:val="002B4055"/>
    <w:rsid w:val="002B4183"/>
    <w:rsid w:val="002B578B"/>
    <w:rsid w:val="002C046D"/>
    <w:rsid w:val="002C547C"/>
    <w:rsid w:val="002D2747"/>
    <w:rsid w:val="002D4A99"/>
    <w:rsid w:val="002D5FD0"/>
    <w:rsid w:val="002E6216"/>
    <w:rsid w:val="002E7D67"/>
    <w:rsid w:val="003012E5"/>
    <w:rsid w:val="0030504C"/>
    <w:rsid w:val="0030771A"/>
    <w:rsid w:val="003142AA"/>
    <w:rsid w:val="00326FE7"/>
    <w:rsid w:val="00330E8B"/>
    <w:rsid w:val="003327DC"/>
    <w:rsid w:val="00337A42"/>
    <w:rsid w:val="00341D80"/>
    <w:rsid w:val="00342654"/>
    <w:rsid w:val="003477A4"/>
    <w:rsid w:val="00352164"/>
    <w:rsid w:val="00353DC7"/>
    <w:rsid w:val="00355438"/>
    <w:rsid w:val="00364AB8"/>
    <w:rsid w:val="00372AB6"/>
    <w:rsid w:val="003807C1"/>
    <w:rsid w:val="003868EF"/>
    <w:rsid w:val="003A333B"/>
    <w:rsid w:val="003A7945"/>
    <w:rsid w:val="003B7812"/>
    <w:rsid w:val="003D1545"/>
    <w:rsid w:val="003D15B4"/>
    <w:rsid w:val="003D3DB6"/>
    <w:rsid w:val="003D4E18"/>
    <w:rsid w:val="003D58F1"/>
    <w:rsid w:val="003D7C0E"/>
    <w:rsid w:val="004025FD"/>
    <w:rsid w:val="004225F3"/>
    <w:rsid w:val="00425297"/>
    <w:rsid w:val="00433C8C"/>
    <w:rsid w:val="004356C6"/>
    <w:rsid w:val="00440DC2"/>
    <w:rsid w:val="00446D93"/>
    <w:rsid w:val="004604FD"/>
    <w:rsid w:val="004644C7"/>
    <w:rsid w:val="00465A1C"/>
    <w:rsid w:val="00467389"/>
    <w:rsid w:val="00472CF0"/>
    <w:rsid w:val="0047338B"/>
    <w:rsid w:val="004737E0"/>
    <w:rsid w:val="004A4AD6"/>
    <w:rsid w:val="004A67A6"/>
    <w:rsid w:val="004B5B6E"/>
    <w:rsid w:val="004C5370"/>
    <w:rsid w:val="004C5DA3"/>
    <w:rsid w:val="004E2301"/>
    <w:rsid w:val="004E4F93"/>
    <w:rsid w:val="004E6D2B"/>
    <w:rsid w:val="00504375"/>
    <w:rsid w:val="00504D51"/>
    <w:rsid w:val="00517C80"/>
    <w:rsid w:val="00532283"/>
    <w:rsid w:val="00533B25"/>
    <w:rsid w:val="005377DF"/>
    <w:rsid w:val="00545B5F"/>
    <w:rsid w:val="00560B50"/>
    <w:rsid w:val="005659CC"/>
    <w:rsid w:val="0056754A"/>
    <w:rsid w:val="00574B0E"/>
    <w:rsid w:val="00576AF0"/>
    <w:rsid w:val="005800D8"/>
    <w:rsid w:val="005844DF"/>
    <w:rsid w:val="00590588"/>
    <w:rsid w:val="005966D3"/>
    <w:rsid w:val="00597CF6"/>
    <w:rsid w:val="005B45A0"/>
    <w:rsid w:val="005E38C8"/>
    <w:rsid w:val="005E62CE"/>
    <w:rsid w:val="005F18D3"/>
    <w:rsid w:val="005F6113"/>
    <w:rsid w:val="00604CB8"/>
    <w:rsid w:val="00617EA8"/>
    <w:rsid w:val="00625F32"/>
    <w:rsid w:val="00626410"/>
    <w:rsid w:val="006344FB"/>
    <w:rsid w:val="00653D26"/>
    <w:rsid w:val="006549F3"/>
    <w:rsid w:val="00667AD6"/>
    <w:rsid w:val="00680B1B"/>
    <w:rsid w:val="006A6AE4"/>
    <w:rsid w:val="006C0B3B"/>
    <w:rsid w:val="006E6F25"/>
    <w:rsid w:val="006F2725"/>
    <w:rsid w:val="006F44F3"/>
    <w:rsid w:val="00704F5A"/>
    <w:rsid w:val="007372FE"/>
    <w:rsid w:val="007403D6"/>
    <w:rsid w:val="007432C5"/>
    <w:rsid w:val="00744E4E"/>
    <w:rsid w:val="00745438"/>
    <w:rsid w:val="0075050D"/>
    <w:rsid w:val="00750640"/>
    <w:rsid w:val="00770B88"/>
    <w:rsid w:val="0077343A"/>
    <w:rsid w:val="00773FC6"/>
    <w:rsid w:val="00783BC1"/>
    <w:rsid w:val="00785246"/>
    <w:rsid w:val="00792258"/>
    <w:rsid w:val="00795F75"/>
    <w:rsid w:val="007961C4"/>
    <w:rsid w:val="00797324"/>
    <w:rsid w:val="007A1476"/>
    <w:rsid w:val="007B160A"/>
    <w:rsid w:val="007B4AF9"/>
    <w:rsid w:val="007B79A0"/>
    <w:rsid w:val="007C148B"/>
    <w:rsid w:val="007C252F"/>
    <w:rsid w:val="007C27D6"/>
    <w:rsid w:val="007C4DFE"/>
    <w:rsid w:val="007C5B05"/>
    <w:rsid w:val="007D3E38"/>
    <w:rsid w:val="007D56EC"/>
    <w:rsid w:val="007D57DE"/>
    <w:rsid w:val="007F0076"/>
    <w:rsid w:val="007F3DEE"/>
    <w:rsid w:val="00804FD9"/>
    <w:rsid w:val="00805AAD"/>
    <w:rsid w:val="00812C85"/>
    <w:rsid w:val="00817FE1"/>
    <w:rsid w:val="00822101"/>
    <w:rsid w:val="00826DE8"/>
    <w:rsid w:val="00835E42"/>
    <w:rsid w:val="00864903"/>
    <w:rsid w:val="00865E87"/>
    <w:rsid w:val="00866B10"/>
    <w:rsid w:val="00866BDF"/>
    <w:rsid w:val="008677B2"/>
    <w:rsid w:val="00871814"/>
    <w:rsid w:val="00874A21"/>
    <w:rsid w:val="00880FF9"/>
    <w:rsid w:val="00887643"/>
    <w:rsid w:val="00895175"/>
    <w:rsid w:val="00896BB2"/>
    <w:rsid w:val="008B4033"/>
    <w:rsid w:val="008D18ED"/>
    <w:rsid w:val="008D72FB"/>
    <w:rsid w:val="008E3E3D"/>
    <w:rsid w:val="008F2488"/>
    <w:rsid w:val="008F6653"/>
    <w:rsid w:val="00907CAE"/>
    <w:rsid w:val="00910B68"/>
    <w:rsid w:val="00910FB2"/>
    <w:rsid w:val="00916F45"/>
    <w:rsid w:val="00920024"/>
    <w:rsid w:val="00925E29"/>
    <w:rsid w:val="009344F3"/>
    <w:rsid w:val="009418BE"/>
    <w:rsid w:val="0097345A"/>
    <w:rsid w:val="00985D33"/>
    <w:rsid w:val="00994C5F"/>
    <w:rsid w:val="00995CB2"/>
    <w:rsid w:val="00996343"/>
    <w:rsid w:val="00997404"/>
    <w:rsid w:val="009A7D3B"/>
    <w:rsid w:val="009B1B43"/>
    <w:rsid w:val="009B7114"/>
    <w:rsid w:val="009C220B"/>
    <w:rsid w:val="009C4643"/>
    <w:rsid w:val="009D4540"/>
    <w:rsid w:val="009E17A0"/>
    <w:rsid w:val="009E2836"/>
    <w:rsid w:val="009E4511"/>
    <w:rsid w:val="009F616E"/>
    <w:rsid w:val="009F781C"/>
    <w:rsid w:val="00A01A1E"/>
    <w:rsid w:val="00A04980"/>
    <w:rsid w:val="00A0628E"/>
    <w:rsid w:val="00A155AC"/>
    <w:rsid w:val="00A17426"/>
    <w:rsid w:val="00A26304"/>
    <w:rsid w:val="00A30EA6"/>
    <w:rsid w:val="00A41E69"/>
    <w:rsid w:val="00A43218"/>
    <w:rsid w:val="00A632AC"/>
    <w:rsid w:val="00A63355"/>
    <w:rsid w:val="00A775F6"/>
    <w:rsid w:val="00A856B6"/>
    <w:rsid w:val="00A90264"/>
    <w:rsid w:val="00AA32BC"/>
    <w:rsid w:val="00AA75AC"/>
    <w:rsid w:val="00AB47ED"/>
    <w:rsid w:val="00AD033F"/>
    <w:rsid w:val="00AD53C6"/>
    <w:rsid w:val="00AE1F12"/>
    <w:rsid w:val="00AE44EE"/>
    <w:rsid w:val="00AE4B4D"/>
    <w:rsid w:val="00B024DC"/>
    <w:rsid w:val="00B04A3D"/>
    <w:rsid w:val="00B146FC"/>
    <w:rsid w:val="00B16250"/>
    <w:rsid w:val="00B478DF"/>
    <w:rsid w:val="00B54CD8"/>
    <w:rsid w:val="00B5784B"/>
    <w:rsid w:val="00B6461D"/>
    <w:rsid w:val="00B67967"/>
    <w:rsid w:val="00B6796F"/>
    <w:rsid w:val="00B82C47"/>
    <w:rsid w:val="00B84213"/>
    <w:rsid w:val="00BA213E"/>
    <w:rsid w:val="00BC3666"/>
    <w:rsid w:val="00BC4DDE"/>
    <w:rsid w:val="00BD0295"/>
    <w:rsid w:val="00C04986"/>
    <w:rsid w:val="00C11F75"/>
    <w:rsid w:val="00C1512B"/>
    <w:rsid w:val="00C21121"/>
    <w:rsid w:val="00C307E1"/>
    <w:rsid w:val="00C36C2A"/>
    <w:rsid w:val="00C41989"/>
    <w:rsid w:val="00C4392C"/>
    <w:rsid w:val="00C479A5"/>
    <w:rsid w:val="00C50BDB"/>
    <w:rsid w:val="00C562F9"/>
    <w:rsid w:val="00C6135B"/>
    <w:rsid w:val="00C6490D"/>
    <w:rsid w:val="00C812DA"/>
    <w:rsid w:val="00C81E79"/>
    <w:rsid w:val="00C97CCC"/>
    <w:rsid w:val="00CA107C"/>
    <w:rsid w:val="00CB4681"/>
    <w:rsid w:val="00CB6B66"/>
    <w:rsid w:val="00CC271E"/>
    <w:rsid w:val="00D01627"/>
    <w:rsid w:val="00D01F8A"/>
    <w:rsid w:val="00D06BA0"/>
    <w:rsid w:val="00D16304"/>
    <w:rsid w:val="00D24274"/>
    <w:rsid w:val="00D50D7B"/>
    <w:rsid w:val="00D51023"/>
    <w:rsid w:val="00D55535"/>
    <w:rsid w:val="00D57788"/>
    <w:rsid w:val="00D6029C"/>
    <w:rsid w:val="00D6173E"/>
    <w:rsid w:val="00D633E1"/>
    <w:rsid w:val="00D759DB"/>
    <w:rsid w:val="00D91CEC"/>
    <w:rsid w:val="00D95CCC"/>
    <w:rsid w:val="00DA01D1"/>
    <w:rsid w:val="00DA29CE"/>
    <w:rsid w:val="00DA5944"/>
    <w:rsid w:val="00DA5DCE"/>
    <w:rsid w:val="00DA722B"/>
    <w:rsid w:val="00DB3206"/>
    <w:rsid w:val="00DB3849"/>
    <w:rsid w:val="00DC0B01"/>
    <w:rsid w:val="00DD0B55"/>
    <w:rsid w:val="00DD19A2"/>
    <w:rsid w:val="00DD2749"/>
    <w:rsid w:val="00DD6230"/>
    <w:rsid w:val="00DD7DFA"/>
    <w:rsid w:val="00DF61C5"/>
    <w:rsid w:val="00DF7D46"/>
    <w:rsid w:val="00E04A7E"/>
    <w:rsid w:val="00E2248F"/>
    <w:rsid w:val="00E242A6"/>
    <w:rsid w:val="00E30DF7"/>
    <w:rsid w:val="00E35FDC"/>
    <w:rsid w:val="00E43A12"/>
    <w:rsid w:val="00E43A65"/>
    <w:rsid w:val="00E44018"/>
    <w:rsid w:val="00E443CC"/>
    <w:rsid w:val="00E51571"/>
    <w:rsid w:val="00E567E2"/>
    <w:rsid w:val="00E628E6"/>
    <w:rsid w:val="00E72FCF"/>
    <w:rsid w:val="00E77CF3"/>
    <w:rsid w:val="00E943ED"/>
    <w:rsid w:val="00E97805"/>
    <w:rsid w:val="00E97A97"/>
    <w:rsid w:val="00EB7A6C"/>
    <w:rsid w:val="00EC4EA6"/>
    <w:rsid w:val="00ED58AB"/>
    <w:rsid w:val="00ED5E86"/>
    <w:rsid w:val="00ED6A22"/>
    <w:rsid w:val="00EE2480"/>
    <w:rsid w:val="00EE27CA"/>
    <w:rsid w:val="00EF12D7"/>
    <w:rsid w:val="00EF1CA8"/>
    <w:rsid w:val="00EF516F"/>
    <w:rsid w:val="00F05C40"/>
    <w:rsid w:val="00F11D0E"/>
    <w:rsid w:val="00F1461F"/>
    <w:rsid w:val="00F17AF6"/>
    <w:rsid w:val="00F219E3"/>
    <w:rsid w:val="00F30437"/>
    <w:rsid w:val="00F32AAA"/>
    <w:rsid w:val="00F3737D"/>
    <w:rsid w:val="00F41F49"/>
    <w:rsid w:val="00F52C88"/>
    <w:rsid w:val="00F55A82"/>
    <w:rsid w:val="00F56C0F"/>
    <w:rsid w:val="00F62B53"/>
    <w:rsid w:val="00F66090"/>
    <w:rsid w:val="00F71BB2"/>
    <w:rsid w:val="00F72D02"/>
    <w:rsid w:val="00F738D2"/>
    <w:rsid w:val="00F76A4B"/>
    <w:rsid w:val="00F92588"/>
    <w:rsid w:val="00F97BE6"/>
    <w:rsid w:val="00FB17FC"/>
    <w:rsid w:val="00FB7ACB"/>
    <w:rsid w:val="00FE5174"/>
    <w:rsid w:val="4C4BEE0C"/>
    <w:rsid w:val="76118F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BBBA60"/>
  <w14:defaultImageDpi w14:val="300"/>
  <w15:docId w15:val="{39DAA707-9E6F-43F0-A38C-BD7383756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cs="Arial" w:eastAsia="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52F"/>
    <w:pPr>
      <w:spacing w:after="120"/>
    </w:pPr>
    <w:rPr>
      <w:rFonts w:ascii="Arial" w:hAnsi="Arial" w:cs="Arial"/>
      <w:sz w:val="24"/>
      <w:lang w:eastAsia="en-US"/>
    </w:rPr>
  </w:style>
  <w:style w:type="paragraph" w:styleId="Heading1">
    <w:name w:val="heading 1"/>
    <w:basedOn w:val="Normal"/>
    <w:next w:val="Normal"/>
    <w:link w:val="Heading1Char"/>
    <w:uiPriority w:val="9"/>
    <w:qFormat/>
    <w:rsid w:val="009E4511"/>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9E4511"/>
    <w:pPr>
      <w:keepNext/>
      <w:spacing w:before="240" w:after="60"/>
      <w:outlineLvl w:val="1"/>
    </w:pPr>
    <w:rPr>
      <w:rFonts w:ascii="Cambria" w:hAnsi="Cambria"/>
      <w:b/>
      <w:bCs/>
      <w:i/>
      <w:iCs/>
      <w:sz w:val="28"/>
      <w:szCs w:val="28"/>
    </w:rPr>
  </w:style>
  <w:style w:type="paragraph" w:styleId="Heading3">
    <w:name w:val="heading 3"/>
    <w:basedOn w:val="Normal"/>
    <w:next w:val="Normal"/>
    <w:autoRedefine/>
    <w:qFormat/>
    <w:rsid w:val="007C252F"/>
    <w:pPr>
      <w:keepNext/>
      <w:tabs>
        <w:tab w:val="left" w:pos="-720"/>
        <w:tab w:val="left" w:pos="0"/>
        <w:tab w:val="left" w:pos="720"/>
        <w:tab w:val="left" w:pos="1440"/>
      </w:tabs>
      <w:spacing w:before="120"/>
      <w:jc w:val="both"/>
      <w:outlineLvl w:val="2"/>
    </w:pPr>
    <w:rPr>
      <w:rFonts w:ascii="Arial" w:hAnsi="Arial" w:cs="Arial"/>
      <w:b/>
      <w:caps/>
      <w:szCs w:val="24"/>
    </w:rPr>
  </w:style>
  <w:style w:type="paragraph" w:styleId="Heading5">
    <w:name w:val="heading 5"/>
    <w:basedOn w:val="Normal"/>
    <w:next w:val="Normal"/>
    <w:link w:val="Heading5Char"/>
    <w:uiPriority w:val="9"/>
    <w:semiHidden/>
    <w:unhideWhenUsed/>
    <w:qFormat/>
    <w:rsid w:val="009E4511"/>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C252F"/>
    <w:pPr>
      <w:tabs>
        <w:tab w:val="center" w:pos="4320"/>
        <w:tab w:val="right" w:pos="8640"/>
      </w:tabs>
    </w:pPr>
  </w:style>
  <w:style w:type="paragraph" w:styleId="Footer">
    <w:name w:val="footer"/>
    <w:basedOn w:val="Normal"/>
    <w:rsid w:val="007C252F"/>
    <w:pPr>
      <w:tabs>
        <w:tab w:val="center" w:pos="4320"/>
        <w:tab w:val="right" w:pos="8640"/>
      </w:tabs>
    </w:pPr>
  </w:style>
  <w:style w:type="table" w:styleId="TableGrid">
    <w:name w:val="Table Grid"/>
    <w:basedOn w:val="TableNormal"/>
    <w:rsid w:val="007C25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cedureText">
    <w:name w:val="Procedure Text"/>
    <w:basedOn w:val="Normal"/>
    <w:autoRedefine/>
    <w:rsid w:val="007C252F"/>
    <w:pPr>
      <w:autoSpaceDE w:val="0"/>
      <w:autoSpaceDN w:val="0"/>
      <w:ind w:left="720" w:hanging="360"/>
    </w:pPr>
    <w:rPr>
      <w:szCs w:val="24"/>
    </w:rPr>
  </w:style>
  <w:style w:type="paragraph" w:customStyle="1" w:styleId="MediumGrid21">
    <w:name w:val="Medium Grid 21"/>
    <w:uiPriority w:val="1"/>
    <w:qFormat/>
    <w:rsid w:val="00014FDF"/>
    <w:rPr>
      <w:sz w:val="24"/>
      <w:lang w:eastAsia="en-US"/>
    </w:rPr>
  </w:style>
  <w:style w:type="paragraph" w:styleId="Subtitle">
    <w:name w:val="Subtitle"/>
    <w:basedOn w:val="Normal"/>
    <w:link w:val="SubtitleChar"/>
    <w:qFormat/>
    <w:rsid w:val="00465A1C"/>
    <w:pPr>
      <w:spacing w:after="0"/>
    </w:pPr>
    <w:rPr>
      <w:rFonts w:ascii="Arial" w:hAnsi="Arial"/>
      <w:szCs w:val="24"/>
      <w:u w:val="single"/>
      <w:lang w:val="x-none" w:eastAsia="x-none"/>
    </w:rPr>
  </w:style>
  <w:style w:type="character" w:customStyle="1" w:styleId="SubtitleChar">
    <w:name w:val="Subtitle Char"/>
    <w:link w:val="Subtitle"/>
    <w:rsid w:val="00465A1C"/>
    <w:rPr>
      <w:rFonts w:ascii="Arial" w:hAnsi="Arial" w:cs="Arial"/>
      <w:sz w:val="24"/>
      <w:szCs w:val="24"/>
      <w:u w:val="single"/>
    </w:rPr>
  </w:style>
  <w:style w:type="paragraph" w:customStyle="1" w:styleId="MediumGrid1-Accent21">
    <w:name w:val="Medium Grid 1 - Accent 21"/>
    <w:basedOn w:val="Normal"/>
    <w:qFormat/>
    <w:rsid w:val="00DA722B"/>
    <w:pPr>
      <w:ind w:left="720"/>
    </w:pPr>
  </w:style>
  <w:style w:type="paragraph" w:styleId="BalloonText">
    <w:name w:val="Balloon Text"/>
    <w:basedOn w:val="Normal"/>
    <w:link w:val="BalloonTextChar"/>
    <w:uiPriority w:val="99"/>
    <w:semiHidden/>
    <w:unhideWhenUsed/>
    <w:rsid w:val="00C21121"/>
    <w:pPr>
      <w:spacing w:after="0"/>
    </w:pPr>
    <w:rPr>
      <w:rFonts w:ascii="Tahoma" w:hAnsi="Tahoma"/>
      <w:sz w:val="16"/>
      <w:szCs w:val="16"/>
    </w:rPr>
  </w:style>
  <w:style w:type="character" w:customStyle="1" w:styleId="BalloonTextChar">
    <w:name w:val="Balloon Text Char"/>
    <w:link w:val="BalloonText"/>
    <w:uiPriority w:val="99"/>
    <w:semiHidden/>
    <w:rsid w:val="00C21121"/>
    <w:rPr>
      <w:rFonts w:ascii="Tahoma" w:hAnsi="Tahoma" w:cs="Tahoma"/>
      <w:sz w:val="16"/>
      <w:szCs w:val="16"/>
      <w:lang w:val="en-US" w:eastAsia="en-US"/>
    </w:rPr>
  </w:style>
  <w:style w:type="paragraph" w:customStyle="1" w:styleId="ColorfulList-Accent11">
    <w:name w:val="Colorful List - Accent 11"/>
    <w:basedOn w:val="Normal"/>
    <w:uiPriority w:val="34"/>
    <w:qFormat/>
    <w:rsid w:val="00AE4B4D"/>
    <w:pPr>
      <w:spacing w:after="200" w:line="276" w:lineRule="auto"/>
      <w:ind w:left="720"/>
      <w:contextualSpacing/>
    </w:pPr>
    <w:rPr>
      <w:rFonts w:ascii="Calibri" w:eastAsia="Calibri" w:hAnsi="Calibri"/>
      <w:sz w:val="22"/>
      <w:szCs w:val="22"/>
    </w:rPr>
  </w:style>
  <w:style w:type="paragraph" w:styleId="BodyText">
    <w:name w:val="Body Text"/>
    <w:basedOn w:val="Normal"/>
    <w:link w:val="BodyTextChar"/>
    <w:uiPriority w:val="99"/>
    <w:unhideWhenUsed/>
    <w:rsid w:val="00653D26"/>
    <w:rPr>
      <w:szCs w:val="24"/>
      <w:lang w:val="en-GB"/>
    </w:rPr>
  </w:style>
  <w:style w:type="character" w:customStyle="1" w:styleId="BodyTextChar">
    <w:name w:val="Body Text Char"/>
    <w:link w:val="BodyText"/>
    <w:uiPriority w:val="99"/>
    <w:rsid w:val="00653D26"/>
    <w:rPr>
      <w:sz w:val="24"/>
      <w:szCs w:val="24"/>
      <w:lang w:val="en-GB"/>
    </w:rPr>
  </w:style>
  <w:style w:type="character" w:styleId="Hyperlink">
    <w:name w:val="Hyperlink"/>
    <w:rsid w:val="00653D26"/>
    <w:rPr>
      <w:color w:val="0000FF"/>
      <w:u w:val="single"/>
    </w:rPr>
  </w:style>
  <w:style w:type="character" w:customStyle="1" w:styleId="Heading1Char">
    <w:name w:val="Heading 1 Char"/>
    <w:link w:val="Heading1"/>
    <w:uiPriority w:val="9"/>
    <w:rsid w:val="009E4511"/>
    <w:rPr>
      <w:rFonts w:ascii="Cambria" w:eastAsia="Times New Roman" w:hAnsi="Cambria" w:cs="Times New Roman"/>
      <w:b/>
      <w:bCs/>
      <w:kern w:val="32"/>
      <w:sz w:val="32"/>
      <w:szCs w:val="32"/>
      <w:lang w:val="en-US" w:eastAsia="en-US"/>
    </w:rPr>
  </w:style>
  <w:style w:type="character" w:customStyle="1" w:styleId="Heading2Char">
    <w:name w:val="Heading 2 Char"/>
    <w:link w:val="Heading2"/>
    <w:uiPriority w:val="9"/>
    <w:semiHidden/>
    <w:rsid w:val="009E4511"/>
    <w:rPr>
      <w:rFonts w:ascii="Cambria" w:eastAsia="Times New Roman" w:hAnsi="Cambria" w:cs="Times New Roman"/>
      <w:b/>
      <w:bCs/>
      <w:i/>
      <w:iCs/>
      <w:sz w:val="28"/>
      <w:szCs w:val="28"/>
      <w:lang w:val="en-US" w:eastAsia="en-US"/>
    </w:rPr>
  </w:style>
  <w:style w:type="character" w:customStyle="1" w:styleId="Heading5Char">
    <w:name w:val="Heading 5 Char"/>
    <w:link w:val="Heading5"/>
    <w:uiPriority w:val="9"/>
    <w:semiHidden/>
    <w:rsid w:val="009E4511"/>
    <w:rPr>
      <w:rFonts w:ascii="Calibri" w:eastAsia="Times New Roman" w:hAnsi="Calibri" w:cs="Times New Roman"/>
      <w:b/>
      <w:bCs/>
      <w:i/>
      <w:iCs/>
      <w:sz w:val="26"/>
      <w:szCs w:val="26"/>
      <w:lang w:val="en-US" w:eastAsia="en-US"/>
    </w:rPr>
  </w:style>
  <w:style w:type="paragraph" w:styleId="BodyTextIndent">
    <w:name w:val="Body Text Indent"/>
    <w:basedOn w:val="Normal"/>
    <w:link w:val="BodyTextIndentChar"/>
    <w:uiPriority w:val="99"/>
    <w:semiHidden/>
    <w:unhideWhenUsed/>
    <w:rsid w:val="00F55A82"/>
    <w:pPr>
      <w:ind w:left="283"/>
    </w:pPr>
  </w:style>
  <w:style w:type="character" w:customStyle="1" w:styleId="BodyTextIndentChar">
    <w:name w:val="Body Text Indent Char"/>
    <w:link w:val="BodyTextIndent"/>
    <w:uiPriority w:val="99"/>
    <w:semiHidden/>
    <w:rsid w:val="00F55A82"/>
    <w:rPr>
      <w:sz w:val="24"/>
      <w:lang w:val="en-US" w:eastAsia="en-US"/>
    </w:rPr>
  </w:style>
  <w:style w:type="paragraph" w:styleId="BodyText2">
    <w:name w:val="Body Text 2"/>
    <w:basedOn w:val="Normal"/>
    <w:link w:val="BodyText2Char"/>
    <w:uiPriority w:val="99"/>
    <w:semiHidden/>
    <w:unhideWhenUsed/>
    <w:rsid w:val="00F55A82"/>
    <w:pPr>
      <w:spacing w:line="480" w:lineRule="auto"/>
    </w:pPr>
  </w:style>
  <w:style w:type="character" w:customStyle="1" w:styleId="BodyText2Char">
    <w:name w:val="Body Text 2 Char"/>
    <w:link w:val="BodyText2"/>
    <w:uiPriority w:val="99"/>
    <w:semiHidden/>
    <w:rsid w:val="00F55A82"/>
    <w:rPr>
      <w:sz w:val="24"/>
      <w:lang w:val="en-US" w:eastAsia="en-US"/>
    </w:rPr>
  </w:style>
  <w:style w:type="paragraph" w:customStyle="1" w:styleId="Heading">
    <w:name w:val="Heading"/>
    <w:next w:val="Normal"/>
    <w:qFormat/>
    <w:rsid w:val="00F3737D"/>
    <w:pPr>
      <w:autoSpaceDE w:val="0"/>
      <w:autoSpaceDN w:val="0"/>
      <w:adjustRightInd w:val="0"/>
      <w:spacing w:before="120" w:after="240"/>
      <w:jc w:val="both"/>
    </w:pPr>
    <w:rPr>
      <w:rFonts w:ascii="Arial" w:hAnsi="Arial" w:cs="Arial"/>
      <w:b/>
      <w:bCs/>
      <w:sz w:val="24"/>
      <w:szCs w:val="22"/>
      <w:lang w:eastAsia="en-US"/>
    </w:rPr>
  </w:style>
  <w:style w:type="paragraph" w:styleId="ListParagraph">
    <w:name w:val="List Paragraph"/>
    <w:basedOn w:val="Normal"/>
    <w:uiPriority w:val="34"/>
    <w:qFormat/>
    <w:rsid w:val="001D0A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04F5B7-D48E-460D-B2C7-67F4FFA36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1135</Words>
  <Characters>6473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FS 16</vt:lpstr>
    </vt:vector>
  </TitlesOfParts>
  <Company/>
  <LinksUpToDate>false</LinksUpToDate>
  <CharactersWithSpaces>7593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Control of Suppliers</dc:subject>
  <dc:creator>ASC Food Safety Consultants</dc:creator>
  <cp:keywords/>
  <cp:lastModifiedBy>ASC Food Safety Consultants</cp:lastModifiedBy>
  <cp:revision>15</cp:revision>
  <cp:lastPrinted>2020-11-11T07:01:00Z</cp:lastPrinted>
  <dcterms:created xsi:type="dcterms:W3CDTF">2021-09-28T09:03:00Z</dcterms:created>
  <dcterms:modified xsi:type="dcterms:W3CDTF">2022-09-13T10:30:00Z</dcterms:modified>
</cp:coreProperties>
</file>