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12" w:space="4" w:color="C00000"/>
          <w:left w:val="single" w:sz="12" w:space="4" w:color="C00000"/>
          <w:bottom w:val="single" w:sz="12" w:space="4" w:color="C00000"/>
          <w:right w:val="single" w:sz="12" w:space="4" w:color="C00000"/>
        </w:pBdr>
        <w:shd w:val="clear" w:color="auto" w:fill="FDECEA"/>
        <w:spacing w:before="0" w:after="240"/>
        <w:jc w:val="both"/>
      </w:pPr>
      <w:r>
        <w:rPr>
          <w:rFonts w:ascii="Arial" w:hAnsi="Arial" w:cs="Arial"/>
          <w:b/>
          <w:color w:val="C00000"/>
          <w:sz w:val="20"/>
        </w:rPr>
        <w:t xml:space="preserve">SAMPLE DOCUMENT - ISO 9001:2026 Packaging Quality Toolkit (TK03) from ASC Food Safety Consultants. This is one of 202 documents in the toolkit, supplied free so you can see the standard of the work before you buy. It is a worked example for a food contact packaging site and is not licensed for use in a live management system. The full toolkit is at ascfoodsafety.com/fsms-templates</w:t>
      </w:r>
    </w:p>
    <w:p>
      <w:pPr>
        <w:autoSpaceDE w:val="0"/>
        <w:autoSpaceDN w:val="0"/>
        <w:adjustRightInd w:val="0"/>
        <w:spacing w:before="120" w:after="480"/>
        <w:jc w:val="center"/>
        <w:rPr>
          <w:rFonts w:ascii="Arial" w:hAnsi="Arial" w:cs="Arial"/>
          <w:b/>
          <w:bCs/>
          <w:sz w:val="36"/>
          <w:szCs w:val="36"/>
        </w:rPr>
      </w:pPr>
      <w:r>
        <w:rPr>
          <w:rFonts w:ascii="Arial" w:hAnsi="Arial" w:cs="Arial"/>
          <w:b/>
          <w:bCs/>
          <w:sz w:val="36"/>
          <w:szCs w:val="36"/>
        </w:rPr>
        <w:t xml:space="preserve">MASTER PRODUCT AND PROCESS SPECIFICATION</w:t>
      </w:r>
    </w:p>
    <w:p>
      <w:pPr>
        <w:spacing w:before="120" w:after="240"/>
        <w:jc w:val="both"/>
        <w:rPr>
          <w:rFonts w:ascii="Arial" w:hAnsi="Arial" w:cs="Arial"/>
          <w:sz w:val="22"/>
          <w:szCs w:val="22"/>
        </w:rPr>
      </w:pPr>
      <w:r>
        <w:rPr>
          <w:rFonts w:ascii="Arial" w:hAnsi="Arial" w:cs="Arial"/>
          <w:b/>
          <w:bCs/>
          <w:sz w:val="22"/>
          <w:szCs w:val="22"/>
        </w:rPr>
        <w:t xml:space="preserve">This document is the single source of every product and process specification listed in it.</w:t>
      </w:r>
      <w:r>
        <w:rPr>
          <w:rFonts w:ascii="Arial" w:hAnsi="Arial" w:cs="Arial"/>
          <w:sz w:val="22"/>
          <w:szCs w:val="22"/>
        </w:rPr>
        <w:t xml:space="preserve"> The values below govern the quality plan, the procedures, the work instructions, the control forms, the release decision, the Certificate of Conformance and the Declaration of Compliance. </w:t>
      </w:r>
      <w:r>
        <w:rPr>
          <w:rFonts w:ascii="Arial" w:hAnsi="Arial" w:cs="Arial"/>
          <w:b/>
          <w:bCs/>
          <w:sz w:val="22"/>
          <w:szCs w:val="22"/>
        </w:rPr>
        <w:t xml:space="preserve">No other document in this Quality Management System may state a different value for any parameter that appears here.</w:t>
      </w:r>
      <w:r>
        <w:rPr>
          <w:rFonts w:ascii="Arial" w:hAnsi="Arial" w:cs="Arial"/>
          <w:sz w:val="22"/>
          <w:szCs w:val="22"/>
        </w:rPr>
        <w:t xml:space="preserve"> Where any other document and this document disagree, this document governs and the other document is corrected at the next issue. A parameter is changed in one place only - here - under PRO 6.3 Planning of Changes and CF 6.3.1, after which every affected document is re-issued.</w:t>
      </w:r>
    </w:p>
    <w:p>
      <w:pPr>
        <w:spacing w:before="120" w:after="240"/>
        <w:jc w:val="both"/>
        <w:rPr>
          <w:rFonts w:ascii="Arial" w:hAnsi="Arial" w:cs="Arial"/>
          <w:sz w:val="22"/>
          <w:szCs w:val="22"/>
        </w:rPr>
      </w:pPr>
      <w:r>
        <w:rPr>
          <w:rFonts w:ascii="Arial" w:hAnsi="Arial" w:cs="Arial"/>
          <w:b/>
          <w:bCs/>
          <w:sz w:val="22"/>
          <w:szCs w:val="22"/>
        </w:rPr>
        <w:t xml:space="preserve">A site adopting this toolkit replaces every value in this document with its own validated values.</w:t>
      </w:r>
      <w:r>
        <w:rPr>
          <w:rFonts w:ascii="Arial" w:hAnsi="Arial" w:cs="Arial"/>
          <w:sz w:val="22"/>
          <w:szCs w:val="22"/>
        </w:rPr>
        <w:t xml:space="preserve"> The values in this specification are the worked example for the toolkit scenario. Every site adopting the toolkit replaces them with its own validated values, and re-verifies every regulatory citation against the text in force at the date of issue.</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817"/>
        <w:gridCol w:w="4542"/>
        <w:gridCol w:w="5753"/>
        <w:gridCol w:w="1514"/>
        <w:gridCol w:w="1514"/>
      </w:tblGrid>
      <w:tr>
        <w:trPr>
          <w:tblHeader/>
          <w:cantSplit/>
        </w:trPr>
        <w:tc>
          <w:tcPr>
            <w:tcW w:w="181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Form issue</w:t>
            </w:r>
          </w:p>
        </w:tc>
        <w:tc>
          <w:tcPr>
            <w:tcW w:w="454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Maintained by</w:t>
            </w:r>
          </w:p>
        </w:tc>
        <w:tc>
          <w:tcPr>
            <w:tcW w:w="5753"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Review frequency</w:t>
            </w:r>
          </w:p>
        </w:tc>
        <w:tc>
          <w:tcPr>
            <w:tcW w:w="151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Last review</w:t>
            </w:r>
          </w:p>
        </w:tc>
        <w:tc>
          <w:tcPr>
            <w:tcW w:w="151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Next review</w:t>
            </w:r>
          </w:p>
        </w:tc>
      </w:tr>
      <w:tr>
        <w:tc>
          <w:tcPr>
            <w:tcW w:w="1817"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4542" w:type="dxa"/>
            <w:vAlign w:val="center"/>
          </w:tcPr>
          <w:p>
            <w:pPr>
              <w:spacing w:before="30" w:after="30"/>
              <w:jc w:val="left"/>
              <w:rPr>
                <w:rFonts w:ascii="Arial" w:hAnsi="Arial" w:cs="Arial"/>
                <w:sz w:val="20"/>
                <w:szCs w:val="20"/>
              </w:rPr>
            </w:pPr>
            <w:r>
              <w:rPr>
                <w:rFonts w:ascii="Arial" w:hAnsi="Arial" w:cs="Arial"/>
                <w:sz w:val="20"/>
                <w:szCs w:val="20"/>
              </w:rPr>
              <w:t xml:space="preserve">Quality Manager (Quality Management Representative, QMR)</w:t>
            </w:r>
          </w:p>
        </w:tc>
        <w:tc>
          <w:tcPr>
            <w:tcW w:w="5753" w:type="dxa"/>
            <w:vAlign w:val="center"/>
          </w:tcPr>
          <w:p>
            <w:pPr>
              <w:spacing w:before="30" w:after="30"/>
              <w:jc w:val="left"/>
              <w:rPr>
                <w:rFonts w:ascii="Arial" w:hAnsi="Arial" w:cs="Arial"/>
                <w:sz w:val="20"/>
                <w:szCs w:val="20"/>
              </w:rPr>
            </w:pPr>
            <w:r>
              <w:rPr>
                <w:rFonts w:ascii="Arial" w:hAnsi="Arial" w:cs="Arial"/>
                <w:sz w:val="20"/>
                <w:szCs w:val="20"/>
              </w:rPr>
              <w:t xml:space="preserve">On any change to a material, a process, an intended use or the applicable legislation, and in any case at least annually</w:t>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How to use this document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Take every specification from this document. Do not copy a figure from a previous job sheet, a supplier data sheet, a customer e-mail or another procedure.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Every row names the </w:t>
      </w:r>
      <w:r>
        <w:rPr>
          <w:rFonts w:ascii="Arial" w:hAnsi="Arial" w:cs="Arial"/>
          <w:b/>
          <w:bCs/>
          <w:sz w:val="22"/>
          <w:szCs w:val="22"/>
        </w:rPr>
        <w:t xml:space="preserve">controlling procedure</w:t>
      </w:r>
      <w:r>
        <w:rPr>
          <w:rFonts w:ascii="Arial" w:hAnsi="Arial" w:cs="Arial"/>
          <w:sz w:val="22"/>
          <w:szCs w:val="22"/>
        </w:rPr>
        <w:t xml:space="preserve"> - the document that says how the parameter is set and checked - and the </w:t>
      </w:r>
      <w:r>
        <w:rPr>
          <w:rFonts w:ascii="Arial" w:hAnsi="Arial" w:cs="Arial"/>
          <w:b/>
          <w:bCs/>
          <w:sz w:val="22"/>
          <w:szCs w:val="22"/>
        </w:rPr>
        <w:t xml:space="preserve">record</w:t>
      </w:r>
      <w:r>
        <w:rPr>
          <w:rFonts w:ascii="Arial" w:hAnsi="Arial" w:cs="Arial"/>
          <w:sz w:val="22"/>
          <w:szCs w:val="22"/>
        </w:rPr>
        <w:t xml:space="preserve"> on which the result is written. If you cannot find the record, the check has not been done.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A </w:t>
      </w:r>
      <w:r>
        <w:rPr>
          <w:rFonts w:ascii="Arial" w:hAnsi="Arial" w:cs="Arial"/>
          <w:b/>
          <w:bCs/>
          <w:sz w:val="22"/>
          <w:szCs w:val="22"/>
        </w:rPr>
        <w:t xml:space="preserve">tighter customer requirement on CF 16.1 always governs over a site value here.</w:t>
      </w:r>
      <w:r>
        <w:rPr>
          <w:rFonts w:ascii="Arial" w:hAnsi="Arial" w:cs="Arial"/>
          <w:sz w:val="22"/>
          <w:szCs w:val="22"/>
        </w:rPr>
        <w:t xml:space="preserve"> A looser customer requirement never does.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A value here may only be changed by the Quality Manager, through PRO 6.3 and CF 6.3.1, with the Design and Development Manager and the Laboratory Manager consulted. Where the parameter is declared on a Declaration of Compliance, the design file and CF 8.6.2 are re-issued with it.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Where a value is a </w:t>
      </w:r>
      <w:r>
        <w:rPr>
          <w:rFonts w:ascii="Arial" w:hAnsi="Arial" w:cs="Arial"/>
          <w:b/>
          <w:bCs/>
          <w:sz w:val="22"/>
          <w:szCs w:val="22"/>
        </w:rPr>
        <w:t xml:space="preserve">legal or food safety characteristic</w:t>
      </w:r>
      <w:r>
        <w:rPr>
          <w:rFonts w:ascii="Arial" w:hAnsi="Arial" w:cs="Arial"/>
          <w:sz w:val="22"/>
          <w:szCs w:val="22"/>
        </w:rPr>
        <w:t xml:space="preserve"> it is marked as such. Those values are not subject to concession and are not adjusted to make a lot pass.</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This document does not reproduce any regulation. Verify every citation against the text in force at the date of issue.</w:t>
      </w:r>
    </w:p>
    <w:p>
      <w:pPr>
        <w:spacing w:before="120" w:after="60"/>
        <w:jc w:val="both"/>
        <w:rPr>
          <w:rFonts w:ascii="Arial" w:hAnsi="Arial" w:cs="Arial"/>
          <w:b/>
          <w:bCs/>
          <w:sz w:val="22"/>
          <w:szCs w:val="22"/>
        </w:rPr>
      </w:pPr>
      <w:r>
        <w:rPr>
          <w:rFonts w:ascii="Arial" w:hAnsi="Arial" w:cs="Arial"/>
          <w:b/>
          <w:bCs/>
          <w:sz w:val="22"/>
          <w:szCs w:val="22"/>
        </w:rPr>
        <w:t xml:space="preserve">SECTION 1 - LINE A: PRINTED FLEXIBLE LAMINATE (12 micron PET reverse gravure / two-component polyurethane adhesive / 50 micron PE sealant)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2271"/>
        <w:gridCol w:w="6207"/>
        <w:gridCol w:w="1968"/>
        <w:gridCol w:w="2271"/>
        <w:gridCol w:w="1969"/>
      </w:tblGrid>
      <w:tr>
        <w:trPr>
          <w:tblHeader/>
          <w:cantSplit/>
        </w:trPr>
        <w:tc>
          <w:tcPr>
            <w:tcW w:w="45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Parameter</w:t>
            </w:r>
          </w:p>
        </w:tc>
        <w:tc>
          <w:tcPr>
            <w:tcW w:w="6207"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Canonical specification</w:t>
            </w:r>
          </w:p>
        </w:tc>
        <w:tc>
          <w:tcPr>
            <w:tcW w:w="196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Class</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Controlling procedure or instruction</w:t>
            </w:r>
          </w:p>
        </w:tc>
        <w:tc>
          <w:tcPr>
            <w:tcW w:w="1969"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Record</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Adhesive mix ratio</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100 parts base to 7.5 parts hardener by weight, tolerance plus or minus 0.3 parts</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Validated parameter</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12 section 6.1; PRO 8.5 section 6.2.1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12.1; CF 8.5.1</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A2</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Adhesive dry coat weight</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dry coat weight 3.2 to 3.8 g/m2, assessed for migration at the 3.8 g/m2 worst case</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Validated parameter; legal (migration)</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12 section 6.1; PRO 8.5 section 6.2.1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12.1; CF 8.5.1</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A3</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Cure</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72 hours at 40 to 45 degrees C. The cure clock restarts from zero on any excursion below 40 degrees C. The restart rule is verified at release, not only at the start of cure: the release inspector reads the cure room trace for the whole cure window and confirms that no excursion below 40 degrees C occurred after the recorded cure start.</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Validated parameter; legal (primary aromatic amines)</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12 section 6.2; PRO 8.6; WI 8.6.1 section 2.7</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12.2; CF 8.5.1; CF 8.6.1</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A4</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Bond strength at full cure</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bond strength at full cure: mean of 5 specimens not less than 2.5 N per 15 mm, with no single specimen below 2.0 N per 15 mm</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Product performance; customer certified</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12 section 6.4; PRO 8.6; WI 8.6.1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12.2; CF 13.2; CF 8.6.1</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A5</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Bond strength test method</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T-peel per WI 12.1: 15 mm specimen width, 50 mm initial grip separation, crosshead speed 100 mm per minute, 10 N load cell, 5 specimens, mean of the steady-state region. No other crosshead speed is permitted; a result obtained at another speed is void.</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Test method</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WI 12.1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13.2</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A6</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Primary aromatic amines - the requirement</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primary aromatic amines listed in Appendix 8 to Annex XVII of Regulation (EC) No 1907/2006 shall not be detectable, at a detection limit of 0.002 mg/kg food or simulant per substance; the sum of other primary aromatic amines shall not exceed 0.01 mg/kg food or simulant (Regulation (EU) No 10/2011 Article 11 and Annex II point 2, as amended by Regulation (EU) 2020/1245)</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Legal; food safety; not subject to concession</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12 section 6.3; PRO 13</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12.2; CF 13.2; CF 8.6.2</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A7</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Primary aromatic amines - routine per-lot screening</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routine per-lot screening test: migration into 3 percent acetic acid for 2 hours at 70 degrees C, reported as aniline equivalent, correlated to the compliance test and documented on CF 12.2. Turnaround 4 hours. Release is on the validated cure plus a conforming screening result.</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Legal; food safety; per lot</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12 section 6.3; PRO 13</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12.2</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A8</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Primary aromatic amines - periodic compliance test</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periodic compliance test at the declared Annex V condition (OM2, 10 days at 40 degrees C) at the external ISO/IEC 17025 accredited laboratory: on validation, on any change of adhesive, substrate or cure parameter, and at least annually per structure. Never a per-lot release test.</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Legal; food safety; periodic</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12 section 6.3; PRO 13; PRO 8.3</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13.2; external laboratory report in the design file</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A9</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Residual solvent - PRINTED WEB BEFORE LAMINATION</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printed web before lamination: total retained solvent not more than 10 mg/m2, no single solvent more than 3 mg/m2</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Process limit. </w:t>
            </w:r>
            <w:r>
              <w:rPr>
                <w:rFonts w:ascii="Arial" w:hAnsi="Arial" w:cs="Arial"/>
                <w:b/>
                <w:bCs/>
                <w:sz w:val="16"/>
                <w:szCs w:val="16"/>
              </w:rPr>
              <w:t xml:space="preserve">This limit applies to the printed web only. It is not the release limit.</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6.10; WI 13.1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11.4; CF 13.2</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A10</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Residual solvent - FINISHED LAMINATE AT RELEASE</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finished laminate at release: total retained solvent not more than 5 mg/m2, ethyl acetate not more than 2 mg/m2</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Release limit; customer certified. </w:t>
            </w:r>
            <w:r>
              <w:rPr>
                <w:rFonts w:ascii="Arial" w:hAnsi="Arial" w:cs="Arial"/>
                <w:b/>
                <w:bCs/>
                <w:sz w:val="16"/>
                <w:szCs w:val="16"/>
              </w:rPr>
              <w:t xml:space="preserve">This limit applies to the finished laminate at release only. It is not the printed web limit.</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8.6; WI 8.6.1 section 2.12; WI 13.1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13.2; CF 8.6.1; CF 8.6.2 Part A</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A11</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Gravure register</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gravure register: within plus or minus 0.10 mm, with no single reading more than 0.15 mm</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Print quality</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6.9; WI 8.5.1; WI 8.5.2</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11.4; CF 8.5.2; CF 8.5.3</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A12</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Colour</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CIEDE2000 (dE00) against the approved standard: solid brand colours not more than 1.5; other spot and process colours not more than 2.0; overprints and tints not more than 2.5; metallics not more than 3.0. A tighter customer tolerance on CF 16.1 always governs.</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Print quality; customer certified</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6.8; WI 11.1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11.4; CF 8.5.2; CF 16.1</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A13</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Food simulants assigned</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chilled sliced cooked meats: simulant D2 (vegetable oil). Cheese: simulant D1 (50 percent ethanol) and D2, the more severe result governing. Reg (EU) 10/2011 Annex III.</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Legal</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8.3 section 6.4; PRO 13</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8.3.3; CF 8.6.2 Part B; design file</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A14</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Conditions of use declared</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chilled storage at not more than 5 degrees C for up to 21 days; not for hot-fill, retort, microwave, oven or freezer use</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Legal. </w:t>
            </w:r>
            <w:r>
              <w:rPr>
                <w:rFonts w:ascii="Arial" w:hAnsi="Arial" w:cs="Arial"/>
                <w:b/>
                <w:bCs/>
                <w:sz w:val="16"/>
                <w:szCs w:val="16"/>
              </w:rPr>
              <w:t xml:space="preserve">A declaration must not extend beyond the conditions the migration evidence covers.</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8.3; PRO 8.6 section 6.6</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8.3.3; CF 8.6.2 Part B item 8</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A15</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Declared migration test condition</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OM2: 10 days at 40 degrees C, Regulation (EU) No 10/2011 Annex V, representing long-term storage at or below 20 degrees C including heating to 70 degrees C for up to 2 hours</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Legal</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8.3; PRO 13</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8.6.2 Part B supporting annex; external laboratory report</w:t>
            </w:r>
          </w:p>
        </w:tc>
      </w:tr>
    </w:tbl>
    <w:p>
      <w:pPr>
        <w:spacing w:before="0" w:after="120"/>
      </w:pPr>
    </w:p>
    <w:p>
      <w:pPr>
        <w:spacing w:before="120" w:after="240"/>
        <w:jc w:val="both"/>
        <w:rPr>
          <w:rFonts w:ascii="Arial" w:hAnsi="Arial" w:cs="Arial"/>
          <w:sz w:val="20"/>
          <w:szCs w:val="20"/>
        </w:rPr>
      </w:pPr>
      <w:r>
        <w:rPr>
          <w:rFonts w:ascii="Arial" w:hAnsi="Arial" w:cs="Arial"/>
          <w:b/>
          <w:bCs/>
          <w:sz w:val="20"/>
          <w:szCs w:val="20"/>
        </w:rPr>
        <w:t xml:space="preserve">Rows A9 and A10 are two different specifications for two different materials at two different points in the process.</w:t>
      </w:r>
      <w:r>
        <w:rPr>
          <w:rFonts w:ascii="Arial" w:hAnsi="Arial" w:cs="Arial"/>
          <w:sz w:val="20"/>
          <w:szCs w:val="20"/>
        </w:rPr>
        <w:t xml:space="preserve"> The printed web limit is checked on the reel of printed web before it is laminated; the release limit is checked on the finished laminate after cure, and it is the figure certified to the customer. Neither figure may be quoted in place of the other, and no document may state a single unqualified residual solvent limit.</w:t>
      </w:r>
    </w:p>
    <w:p>
      <w:pPr>
        <w:spacing w:before="120" w:after="60"/>
        <w:jc w:val="both"/>
        <w:rPr>
          <w:rFonts w:ascii="Arial" w:hAnsi="Arial" w:cs="Arial"/>
          <w:b/>
          <w:bCs/>
          <w:sz w:val="22"/>
          <w:szCs w:val="22"/>
        </w:rPr>
      </w:pPr>
      <w:r>
        <w:rPr>
          <w:rFonts w:ascii="Arial" w:hAnsi="Arial" w:cs="Arial"/>
          <w:b/>
          <w:bCs/>
          <w:sz w:val="22"/>
          <w:szCs w:val="22"/>
        </w:rPr>
        <w:t xml:space="preserve">SECTION 2 - LINE B: PRINTED FOLDING CARTON (300 g/m2 barrier-coated virgin boxboard, sheet-fed UV offset, UV varnish, die-cut, folded and glued)</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2271"/>
        <w:gridCol w:w="6207"/>
        <w:gridCol w:w="1968"/>
        <w:gridCol w:w="2271"/>
        <w:gridCol w:w="1969"/>
      </w:tblGrid>
      <w:tr>
        <w:trPr>
          <w:tblHeader/>
          <w:cantSplit/>
        </w:trPr>
        <w:tc>
          <w:tcPr>
            <w:tcW w:w="45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Parameter</w:t>
            </w:r>
          </w:p>
        </w:tc>
        <w:tc>
          <w:tcPr>
            <w:tcW w:w="6207"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Canonical specification</w:t>
            </w:r>
          </w:p>
        </w:tc>
        <w:tc>
          <w:tcPr>
            <w:tcW w:w="196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Class</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Controlling procedure or instruction</w:t>
            </w:r>
          </w:p>
        </w:tc>
        <w:tc>
          <w:tcPr>
            <w:tcW w:w="1969"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Record</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B1</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UV cure dose and peak irradiance</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not less than 120 mJ/cm2 UVA per lamp station at running speed, with peak irradiance not less than 0.60 W/cm2 UVA. Dose alone does not establish cure: the same dose delivered at a low irradiance will not cure a pigmented film. Both figures are measured and both are recorded.</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Validated parameter; set-off and migration control</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6.11; WI 8.5.2 section 4.3</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11.5; CF 8.5.3</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B2</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UV lamp life</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lamp replaced at not more than 1000 operating hours</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Validated parameter</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6.11; PRO 19</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11.5; CF 19.1</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B3</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Cure confirmation - solvent rub</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not less than 30 MEK double rubs with no ink or varnish transfer to the pad (method in WI 11.1 section 6, not WI 13.1)</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Cure verification. Perform the rub test under the control measures in the work instruction; it is an open-solvent test.</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WI 11.1 section 6; WI 8.5.2</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11.5; CF 8.5.3</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B4</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Offset register</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offset register: within plus or minus 0.05 mm</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Print quality</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6.9; WI 8.5.1; WI 8.5.2</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11.4; CF 8.5.2; CF 8.5.3</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B5</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Food simulant assigned</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dry foods: poly(2,6-diphenyl-p-phenylene oxide) (Tenax) as simulant E, Reg (EU) 10/2011 Annex III, with the fat reduction factor not applied</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Legal</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8.3 section 6.4; PRO 13</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8.3.3; CF 8.6.2 Part C; design file</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B6</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Conditions of use declared</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ambient dry storage up to 18 months; not for hot-fill, retort or direct heating</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Legal</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8.3; PRO 8.6 section 6.6</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8.3.3; CF 8.6.2 Part C</w:t>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SECTION 3 - SHARED PRINT PARAMETERS (both lines)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2271"/>
        <w:gridCol w:w="6207"/>
        <w:gridCol w:w="1968"/>
        <w:gridCol w:w="2271"/>
        <w:gridCol w:w="1969"/>
      </w:tblGrid>
      <w:tr>
        <w:trPr>
          <w:tblHeader/>
          <w:cantSplit/>
        </w:trPr>
        <w:tc>
          <w:tcPr>
            <w:tcW w:w="45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Parameter</w:t>
            </w:r>
          </w:p>
        </w:tc>
        <w:tc>
          <w:tcPr>
            <w:tcW w:w="6207"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Canonical specification</w:t>
            </w:r>
          </w:p>
        </w:tc>
        <w:tc>
          <w:tcPr>
            <w:tcW w:w="196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Class</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Controlling procedure or instruction</w:t>
            </w:r>
          </w:p>
        </w:tc>
        <w:tc>
          <w:tcPr>
            <w:tcW w:w="1969"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Record</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P1</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Ink viscosity</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DIN 4 flow cup at 25 degrees C: target 18 seconds, accept 17 to 19 seconds. The reference temperature is part of the specification; a viscosity read at another temperature is void.</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Process control</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6.6; WI 8.5.1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11.4; CF 8.5.3</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P2</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Solid ink density</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solid ink density tolerance plus or minus 0.10 against the approved standard. Read in status E, without a polarisation filter, against the approved standard for the substrate and ink set in use.</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Print quality</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6.9; WI 11.1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11.4; CF 8.5.3</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P3</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Colour difference by colour type</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CIEDE2000 (dE00) against the approved standard: solid brand colours not more than 1.5; other spot and process colours not more than 2.0; overprints and tints not more than 2.5; metallics not more than 3.0. A tighter customer tolerance on CF 16.1 always governs.</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Print quality; customer certified</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6.8; WI 11.1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11.4; CF 8.5.2; CF 16.1</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P4</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Colour measurement geometry and condition</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45:0 geometry, D50 illuminant, 2 degree observer, M1 measurement condition. M1 is specified because the boxboard and the opaque white inks contain optical brighteners, which M0 does not control. The backing, the substrate and the number of plies are recorded with every reading and must be the same as those used when the standard was measured.</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Measurement condition</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6.7; WI 11.1</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11.4; CF 16.1</w:t>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SECTION 4 - STOCK AND SUPPLY</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2271"/>
        <w:gridCol w:w="6207"/>
        <w:gridCol w:w="1968"/>
        <w:gridCol w:w="2271"/>
        <w:gridCol w:w="1969"/>
      </w:tblGrid>
      <w:tr>
        <w:trPr>
          <w:tblHeader/>
          <w:cantSplit/>
        </w:trPr>
        <w:tc>
          <w:tcPr>
            <w:tcW w:w="45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Parameter</w:t>
            </w:r>
          </w:p>
        </w:tc>
        <w:tc>
          <w:tcPr>
            <w:tcW w:w="6207"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Canonical specification</w:t>
            </w:r>
          </w:p>
        </w:tc>
        <w:tc>
          <w:tcPr>
            <w:tcW w:w="196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Class</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Controlling procedure or instruction</w:t>
            </w:r>
          </w:p>
        </w:tc>
        <w:tc>
          <w:tcPr>
            <w:tcW w:w="1969"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Record</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S1</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Hardener stock cover (single-source two-component PU adhesive hardener)</w:t>
            </w:r>
          </w:p>
        </w:tc>
        <w:tc>
          <w:tcPr>
            <w:tcW w:w="6207" w:type="dxa"/>
            <w:vAlign w:val="center"/>
          </w:tcPr>
          <w:p>
            <w:pPr>
              <w:spacing w:before="30" w:after="30"/>
              <w:jc w:val="left"/>
              <w:rPr>
                <w:rFonts w:ascii="Arial" w:hAnsi="Arial" w:cs="Arial"/>
                <w:sz w:val="16"/>
                <w:szCs w:val="16"/>
              </w:rPr>
            </w:pPr>
            <w:r>
              <w:rPr>
                <w:rFonts w:ascii="Arial" w:hAnsi="Arial" w:cs="Arial"/>
                <w:sz w:val="16"/>
                <w:szCs w:val="16"/>
              </w:rPr>
              <w:t xml:space="preserve">six weeks of hardener stock cover (raised from three weeks under CHG-27)</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Continuity of supply</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8.4; PRO 8.1 section 6.5</w:t>
            </w:r>
          </w:p>
        </w:tc>
        <w:tc>
          <w:tcPr>
            <w:tcW w:w="1969" w:type="dxa"/>
            <w:vAlign w:val="center"/>
          </w:tcPr>
          <w:p>
            <w:pPr>
              <w:spacing w:before="30" w:after="30"/>
              <w:jc w:val="left"/>
              <w:rPr>
                <w:rFonts w:ascii="Arial" w:hAnsi="Arial" w:cs="Arial"/>
                <w:sz w:val="16"/>
                <w:szCs w:val="16"/>
              </w:rPr>
            </w:pPr>
            <w:r>
              <w:rPr>
                <w:rFonts w:ascii="Arial" w:hAnsi="Arial" w:cs="Arial"/>
                <w:sz w:val="16"/>
                <w:szCs w:val="16"/>
              </w:rPr>
              <w:t xml:space="preserve">CF 8.1.2; CF 8.4.2; RA 8.4</w:t>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SECTION 5 - THE REGULATORY SET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2271"/>
        <w:gridCol w:w="8176"/>
        <w:gridCol w:w="2271"/>
        <w:gridCol w:w="1968"/>
      </w:tblGrid>
      <w:tr>
        <w:trPr>
          <w:tblHeader/>
          <w:cantSplit/>
        </w:trPr>
        <w:tc>
          <w:tcPr>
            <w:tcW w:w="454"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Instrument</w:t>
            </w:r>
          </w:p>
        </w:tc>
        <w:tc>
          <w:tcPr>
            <w:tcW w:w="8176"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What it requires of this site</w:t>
            </w:r>
          </w:p>
        </w:tc>
        <w:tc>
          <w:tcPr>
            <w:tcW w:w="227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Controlling procedure</w:t>
            </w:r>
          </w:p>
        </w:tc>
        <w:tc>
          <w:tcPr>
            <w:tcW w:w="196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Record</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R1</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The core food contact set</w:t>
            </w:r>
          </w:p>
        </w:tc>
        <w:tc>
          <w:tcPr>
            <w:tcW w:w="8176" w:type="dxa"/>
            <w:vAlign w:val="center"/>
          </w:tcPr>
          <w:p>
            <w:pPr>
              <w:spacing w:before="30" w:after="30"/>
              <w:jc w:val="left"/>
              <w:rPr>
                <w:rFonts w:ascii="Arial" w:hAnsi="Arial" w:cs="Arial"/>
                <w:sz w:val="16"/>
                <w:szCs w:val="16"/>
              </w:rPr>
            </w:pPr>
            <w:r>
              <w:rPr>
                <w:rFonts w:ascii="Arial" w:hAnsi="Arial" w:cs="Arial"/>
                <w:sz w:val="16"/>
                <w:szCs w:val="16"/>
              </w:rPr>
              <w:t xml:space="preserve">Regulation (EC) No 1935/2004 (Articles 3, 15 and 17); Regulation (EU) No 10/2011 (Article 11 specific migration, Article 12 overall migration, Annex I Union list, Annex II point 2 primary aromatic amines and metals, Annex III simulants, Annex IV declaration of compliance, Annex V test conditions); Regulation (EC) No 2023/2006 good manufacturing practice; Regulation (EU) 2024/3190 bisphenols.</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8.3; PRO 8.6; PRO 11; PRO 12; PRO 13</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CF 7.5.4; CF 8.6.2; design file</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R2</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Bisphenols</w:t>
            </w:r>
          </w:p>
        </w:tc>
        <w:tc>
          <w:tcPr>
            <w:tcW w:w="8176" w:type="dxa"/>
            <w:vAlign w:val="center"/>
          </w:tcPr>
          <w:p>
            <w:pPr>
              <w:spacing w:before="30" w:after="30"/>
              <w:jc w:val="left"/>
              <w:rPr>
                <w:rFonts w:ascii="Arial" w:hAnsi="Arial" w:cs="Arial"/>
                <w:sz w:val="16"/>
                <w:szCs w:val="16"/>
              </w:rPr>
            </w:pPr>
            <w:r>
              <w:rPr>
                <w:rFonts w:ascii="Arial" w:hAnsi="Arial" w:cs="Arial"/>
                <w:sz w:val="16"/>
                <w:szCs w:val="16"/>
              </w:rPr>
              <w:t xml:space="preserve">Commission Regulation (EU) 2024/3190 on the use of bisphenol A and other bisphenols and bisphenol derivatives in food contact materials, which repealed Regulation (EU) 2018/213 and extends the restriction beyond plastics and varnishes and coatings to printing inks, adhesives, silicones, rubbers and ion-exchange resins. Supplier bisphenol statements are therefore required for every ink, varnish, adhesive, coating and hot melt on CF 11.6.</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8.4; PRO 11; PRO 8.6</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CF 7.5.4; CF 11.6; CF 8.4.1; CF 8.6.2</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R3</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Primary aromatic amines - the citation to use</w:t>
            </w:r>
          </w:p>
        </w:tc>
        <w:tc>
          <w:tcPr>
            <w:tcW w:w="8176" w:type="dxa"/>
            <w:vAlign w:val="center"/>
          </w:tcPr>
          <w:p>
            <w:pPr>
              <w:spacing w:before="30" w:after="30"/>
              <w:jc w:val="left"/>
              <w:rPr>
                <w:rFonts w:ascii="Arial" w:hAnsi="Arial" w:cs="Arial"/>
                <w:sz w:val="16"/>
                <w:szCs w:val="16"/>
              </w:rPr>
            </w:pPr>
            <w:r>
              <w:rPr>
                <w:rFonts w:ascii="Arial" w:hAnsi="Arial" w:cs="Arial"/>
                <w:sz w:val="16"/>
                <w:szCs w:val="16"/>
              </w:rPr>
              <w:t xml:space="preserve">Cite </w:t>
            </w:r>
            <w:r>
              <w:rPr>
                <w:rFonts w:ascii="Arial" w:hAnsi="Arial" w:cs="Arial"/>
                <w:b/>
                <w:bCs/>
                <w:sz w:val="16"/>
                <w:szCs w:val="16"/>
              </w:rPr>
              <w:t xml:space="preserve">Regulation (EU) No 10/2011 Article 11 and Annex II point 2</w:t>
            </w:r>
            <w:r>
              <w:rPr>
                <w:rFonts w:ascii="Arial" w:hAnsi="Arial" w:cs="Arial"/>
                <w:sz w:val="16"/>
                <w:szCs w:val="16"/>
              </w:rPr>
              <w:t xml:space="preserve">, as amended by Regulation (EU) 2020/1245. </w:t>
            </w:r>
            <w:r>
              <w:rPr>
                <w:rFonts w:ascii="Arial" w:hAnsi="Arial" w:cs="Arial"/>
                <w:b/>
                <w:bCs/>
                <w:sz w:val="16"/>
                <w:szCs w:val="16"/>
              </w:rPr>
              <w:t xml:space="preserve">Article 12 is the overall migration limit and is never the citation for primary aromatic amines.</w:t>
            </w:r>
            <w:r>
              <w:rPr>
                <w:rFonts w:ascii="Arial" w:hAnsi="Arial" w:cs="Arial"/>
                <w:sz w:val="16"/>
                <w:szCs w:val="16"/>
              </w:rPr>
              <w:t xml:space="preserve"> The phrase “expressed as aniline” is the reporting basis of the site screening method, not the regulatory expression of the limit, and is not used in a regulatory statement.</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12 section 6.3; PRO 13; PRO 8.6</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CF 12.2; CF 8.6.2</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R4</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Printing inks</w:t>
            </w:r>
          </w:p>
        </w:tc>
        <w:tc>
          <w:tcPr>
            <w:tcW w:w="8176" w:type="dxa"/>
            <w:vAlign w:val="center"/>
          </w:tcPr>
          <w:p>
            <w:pPr>
              <w:spacing w:before="30" w:after="30"/>
              <w:jc w:val="left"/>
              <w:rPr>
                <w:rFonts w:ascii="Arial" w:hAnsi="Arial" w:cs="Arial"/>
                <w:sz w:val="16"/>
                <w:szCs w:val="16"/>
              </w:rPr>
            </w:pPr>
            <w:r>
              <w:rPr>
                <w:rFonts w:ascii="Arial" w:hAnsi="Arial" w:cs="Arial"/>
                <w:sz w:val="16"/>
                <w:szCs w:val="16"/>
              </w:rPr>
              <w:t xml:space="preserve">There is no harmonised EU measure for food contact printing inks and no adopted German printing ink ordinance. Compliance rests on Regulation (EC) No 1935/2004 Article 3, the printing-ink provisions of the Annex to Regulation (EC) No 2023/2006, and, where Switzerland is a country of sale, Swiss Ordinance SR 817.023.21 Annex 10. BfR Recommendation XXXVI is a non-binding German position, not law.</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11 section 3; PRO 8.3</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CF 7.5.4; CF 11.6</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R5</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Paper and board</w:t>
            </w:r>
          </w:p>
        </w:tc>
        <w:tc>
          <w:tcPr>
            <w:tcW w:w="8176" w:type="dxa"/>
            <w:vAlign w:val="center"/>
          </w:tcPr>
          <w:p>
            <w:pPr>
              <w:spacing w:before="30" w:after="30"/>
              <w:jc w:val="left"/>
              <w:rPr>
                <w:rFonts w:ascii="Arial" w:hAnsi="Arial" w:cs="Arial"/>
                <w:sz w:val="16"/>
                <w:szCs w:val="16"/>
              </w:rPr>
            </w:pPr>
            <w:r>
              <w:rPr>
                <w:rFonts w:ascii="Arial" w:hAnsi="Arial" w:cs="Arial"/>
                <w:sz w:val="16"/>
                <w:szCs w:val="16"/>
              </w:rPr>
              <w:t xml:space="preserve">Regulation (EU) No 10/2011 does </w:t>
            </w:r>
            <w:r>
              <w:rPr>
                <w:rFonts w:ascii="Arial" w:hAnsi="Arial" w:cs="Arial"/>
                <w:b/>
                <w:bCs/>
                <w:sz w:val="16"/>
                <w:szCs w:val="16"/>
              </w:rPr>
              <w:t xml:space="preserve">not</w:t>
            </w:r>
            <w:r>
              <w:rPr>
                <w:rFonts w:ascii="Arial" w:hAnsi="Arial" w:cs="Arial"/>
                <w:sz w:val="16"/>
                <w:szCs w:val="16"/>
              </w:rPr>
              <w:t xml:space="preserve"> apply to paper and board. The Line B declaration rests on Regulation (EC) No 1935/2004 Article 3, Regulation (EC) No 2023/2006, the applicable national positions, BfR Recommendation XXXVI, migration into Tenax as simulant E and the site's mineral oil (MOSH/MOAH) position.</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8.3; PRO 8.6 section 6.6</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CF 8.6.2 Part C; design file</w:t>
            </w:r>
          </w:p>
        </w:tc>
      </w:tr>
      <w:tr>
        <w:tc>
          <w:tcPr>
            <w:tcW w:w="454" w:type="dxa"/>
            <w:vAlign w:val="center"/>
          </w:tcPr>
          <w:p>
            <w:pPr>
              <w:spacing w:before="30" w:after="30"/>
              <w:jc w:val="left"/>
              <w:rPr>
                <w:rFonts w:ascii="Arial" w:hAnsi="Arial" w:cs="Arial"/>
                <w:sz w:val="16"/>
                <w:szCs w:val="16"/>
              </w:rPr>
            </w:pPr>
            <w:r>
              <w:rPr>
                <w:rFonts w:ascii="Arial" w:hAnsi="Arial" w:cs="Arial"/>
                <w:sz w:val="16"/>
                <w:szCs w:val="16"/>
              </w:rPr>
              <w:t xml:space="preserve">R6</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Re-verification</w:t>
            </w:r>
          </w:p>
        </w:tc>
        <w:tc>
          <w:tcPr>
            <w:tcW w:w="8176" w:type="dxa"/>
            <w:vAlign w:val="center"/>
          </w:tcPr>
          <w:p>
            <w:pPr>
              <w:spacing w:before="30" w:after="30"/>
              <w:jc w:val="left"/>
              <w:rPr>
                <w:rFonts w:ascii="Arial" w:hAnsi="Arial" w:cs="Arial"/>
                <w:sz w:val="16"/>
                <w:szCs w:val="16"/>
              </w:rPr>
            </w:pPr>
            <w:r>
              <w:rPr>
                <w:rFonts w:ascii="Arial" w:hAnsi="Arial" w:cs="Arial"/>
                <w:sz w:val="16"/>
                <w:szCs w:val="16"/>
              </w:rPr>
              <w:t xml:space="preserve">The values in this specification are the worked example for the toolkit scenario. Every site adopting the toolkit replaces them with its own validated values, and re-verifies every regulatory citation against the text in force at the date of issue.</w:t>
            </w:r>
          </w:p>
        </w:tc>
        <w:tc>
          <w:tcPr>
            <w:tcW w:w="2271" w:type="dxa"/>
            <w:vAlign w:val="center"/>
          </w:tcPr>
          <w:p>
            <w:pPr>
              <w:spacing w:before="30" w:after="30"/>
              <w:jc w:val="left"/>
              <w:rPr>
                <w:rFonts w:ascii="Arial" w:hAnsi="Arial" w:cs="Arial"/>
                <w:sz w:val="16"/>
                <w:szCs w:val="16"/>
              </w:rPr>
            </w:pPr>
            <w:r>
              <w:rPr>
                <w:rFonts w:ascii="Arial" w:hAnsi="Arial" w:cs="Arial"/>
                <w:sz w:val="16"/>
                <w:szCs w:val="16"/>
              </w:rPr>
              <w:t xml:space="preserve">PRO 7.5; PRO 8.3</w:t>
            </w:r>
          </w:p>
        </w:tc>
        <w:tc>
          <w:tcPr>
            <w:tcW w:w="1968" w:type="dxa"/>
            <w:vAlign w:val="center"/>
          </w:tcPr>
          <w:p>
            <w:pPr>
              <w:spacing w:before="30" w:after="30"/>
              <w:jc w:val="left"/>
              <w:rPr>
                <w:rFonts w:ascii="Arial" w:hAnsi="Arial" w:cs="Arial"/>
                <w:sz w:val="16"/>
                <w:szCs w:val="16"/>
              </w:rPr>
            </w:pPr>
            <w:r>
              <w:rPr>
                <w:rFonts w:ascii="Arial" w:hAnsi="Arial" w:cs="Arial"/>
                <w:sz w:val="16"/>
                <w:szCs w:val="16"/>
              </w:rPr>
              <w:t xml:space="preserve">CF 7.5.4 Legal Register</w:t>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SECTION 6 - CHANGE CONTROL OF THIS SPECIFICATION</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060"/>
        <w:gridCol w:w="1060"/>
        <w:gridCol w:w="1817"/>
        <w:gridCol w:w="1817"/>
        <w:gridCol w:w="1817"/>
        <w:gridCol w:w="2725"/>
        <w:gridCol w:w="1363"/>
        <w:gridCol w:w="1665"/>
        <w:gridCol w:w="1060"/>
        <w:gridCol w:w="756"/>
      </w:tblGrid>
      <w:tr>
        <w:trPr>
          <w:tblHeader/>
          <w:cantSplit/>
        </w:trPr>
        <w:tc>
          <w:tcPr>
            <w:tcW w:w="1060"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Date</w:t>
            </w:r>
          </w:p>
        </w:tc>
        <w:tc>
          <w:tcPr>
            <w:tcW w:w="1060"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Row reference</w:t>
            </w:r>
          </w:p>
        </w:tc>
        <w:tc>
          <w:tcPr>
            <w:tcW w:w="1817"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Parameter</w:t>
            </w:r>
          </w:p>
        </w:tc>
        <w:tc>
          <w:tcPr>
            <w:tcW w:w="1817"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Value before</w:t>
            </w:r>
          </w:p>
        </w:tc>
        <w:tc>
          <w:tcPr>
            <w:tcW w:w="1817"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Value after</w:t>
            </w:r>
          </w:p>
        </w:tc>
        <w:tc>
          <w:tcPr>
            <w:tcW w:w="2725"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Reason and evidence</w:t>
            </w:r>
          </w:p>
        </w:tc>
        <w:tc>
          <w:tcPr>
            <w:tcW w:w="1363"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CF 6.3.1 change number</w:t>
            </w:r>
          </w:p>
        </w:tc>
        <w:tc>
          <w:tcPr>
            <w:tcW w:w="1665"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Documents re-issued</w:t>
            </w:r>
          </w:p>
        </w:tc>
        <w:tc>
          <w:tcPr>
            <w:tcW w:w="1060"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Customers notified</w:t>
            </w:r>
          </w:p>
        </w:tc>
        <w:tc>
          <w:tcPr>
            <w:tcW w:w="756"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Approved by</w:t>
            </w:r>
          </w:p>
        </w:tc>
      </w:tr>
      <w:tr>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363"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6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756"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363"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6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756"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363"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6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756"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363"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6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756"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363"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6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756"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363"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6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756"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363"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6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756"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72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363"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65"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060"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756" w:type="dxa"/>
            <w:vAlign w:val="center"/>
          </w:tcPr>
          <w:p>
            <w:pPr>
              <w:spacing w:before="30" w:after="30"/>
              <w:jc w:val="left"/>
              <w:rPr>
                <w:rFonts w:ascii="Arial" w:hAnsi="Arial" w:cs="Arial"/>
                <w:sz w:val="18"/>
                <w:szCs w:val="18"/>
              </w:rPr>
            </w:pPr>
            <w:r>
              <w:rPr>
                <w:rFonts w:ascii="Arial" w:hAnsi="Arial" w:cs="Arial"/>
                <w:sz w:val="18"/>
                <w:szCs w:val="18"/>
              </w:rPr>
              <w:t xml:space="preserve"/>
            </w:r>
          </w:p>
        </w:tc>
      </w:tr>
    </w:tbl>
    <w:p>
      <w:pPr>
        <w:spacing w:before="0" w:after="120"/>
      </w:pP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6056"/>
        <w:gridCol w:w="3634"/>
        <w:gridCol w:w="3331"/>
        <w:gridCol w:w="2119"/>
      </w:tblGrid>
      <w:tr>
        <w:trPr>
          <w:tblHeader/>
          <w:cantSplit/>
        </w:trPr>
        <w:tc>
          <w:tcPr>
            <w:tcW w:w="605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363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Name</w:t>
            </w:r>
          </w:p>
        </w:tc>
        <w:tc>
          <w:tcPr>
            <w:tcW w:w="333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Signature</w:t>
            </w:r>
          </w:p>
        </w:tc>
        <w:tc>
          <w:tcPr>
            <w:tcW w:w="211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Prepared by - ASC Food Safety Consultants</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Reviewed by - Quality Management Representative</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Approved by - General Manager</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Authorised by - Managing Director</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sectPr w:rsidR="0047338B" w:rsidRPr="00996343" w:rsidSect="003A7945">
      <w:headerReference w:type="default" r:id="rId8"/>
      <w:type w:val="continuous"/>
      <w:pgSz w:w="16840" w:h="11907" w:code="9" w:orient="landscape"/>
      <w:pgMar w:top="567" w:right="850" w:bottom="567" w:left="850" w:header="567" w:footer="284"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E41D" w14:textId="77777777" w:rsidR="004356C6" w:rsidRDefault="004356C6" w:rsidP="00AA32BC">
      <w:r>
        <w:separator/>
      </w:r>
    </w:p>
  </w:endnote>
  <w:endnote w:type="continuationSeparator" w:id="0">
    <w:p w14:paraId="5D18E954" w14:textId="77777777" w:rsidR="004356C6" w:rsidRDefault="004356C6" w:rsidP="00AA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998C" w14:textId="77777777" w:rsidR="004356C6" w:rsidRDefault="004356C6" w:rsidP="00AA32BC">
      <w:r>
        <w:separator/>
      </w:r>
    </w:p>
  </w:footnote>
  <w:footnote w:type="continuationSeparator" w:id="0">
    <w:p w14:paraId="16D9DF7C" w14:textId="77777777" w:rsidR="004356C6" w:rsidRDefault="004356C6" w:rsidP="00AA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8"/>
      <w:gridCol w:w="5528"/>
      <w:gridCol w:w="4094"/>
      <w:gridCol w:w="2251"/>
    </w:tblGrid>
    <w:tr w:rsidR="00871814" w:rsidRPr="00871814" w14:paraId="02C9E39E" w14:textId="77777777" w:rsidTr="009F616E">
      <w:trPr>
        <w:cantSplit/>
        <w:trHeight w:hRule="atLeast" w:val="1077"/>
      </w:trPr>
      <w:tc>
        <w:tcPr>
          <w:tcW w:w="3268" w:type="dxa"/>
          <w:shd w:val="clear" w:color="auto" w:fill="FFFFFF"/>
          <w:vAlign w:val="center"/>
          <w:hideMark/>
        </w:tcPr>
        <w:p w14:paraId="58AA9BC5" w14:textId="77777777" w:rsidR="00871814" w:rsidRPr="00871814" w:rsidRDefault="00871814" w:rsidP="00871814">
          <w:pPr>
            <w:keepNext/>
            <w:suppressAutoHyphens/>
            <w:spacing w:before="60" w:after="60"/>
            <w:jc w:val="center"/>
            <w:outlineLvl w:val="0"/>
            <w:rPr>
              <w:rFonts w:ascii="Arial" w:hAnsi="Arial" w:cs="Arial"/>
              <w:b/>
              <w:caps/>
              <w:kern w:val="28"/>
              <w:sz w:val="22"/>
              <w:szCs w:val="22"/>
            </w:rPr>
          </w:pPr>
          <w:bookmarkStart w:id="0" w:name="_Hlk86315428"/>
          <w:r w:rsidRPr="00871814">
            <w:rPr>
              <w:rFonts w:ascii="Arial" w:hAnsi="Arial" w:cs="Arial"/>
              <w:b/>
              <w:caps/>
              <w:kern w:val="28"/>
              <w:sz w:val="22"/>
              <w:szCs w:val="22"/>
            </w:rPr>
            <w:t>LOGO</w:t>
          </w:r>
        </w:p>
      </w:tc>
      <w:tc>
        <w:tcPr>
          <w:tcW w:w="5528" w:type="dxa"/>
          <w:shd w:val="clear" w:color="auto" w:fill="FFFFFF"/>
          <w:vAlign w:val="center"/>
          <w:hideMark/>
        </w:tcPr>
        <w:p w14:paraId="2426B2E7" w14:textId="77777777" w:rsidR="00871814" w:rsidRPr="00871814" w:rsidRDefault="00871814" w:rsidP="00871814">
          <w:pPr>
            <w:keepNext/>
            <w:spacing w:before="120" w:after="240"/>
            <w:jc w:val="center"/>
            <w:outlineLvl w:val="0"/>
            <w:rPr>
              <w:rFonts w:ascii="Arial" w:hAnsi="Arial" w:cs="Arial"/>
              <w:b/>
              <w:i/>
              <w:iCs/>
              <w:sz w:val="22"/>
              <w:szCs w:val="22"/>
            </w:rPr>
          </w:pPr>
          <w:r w:rsidRPr="00871814">
            <w:rPr>
              <w:rFonts w:ascii="Arial" w:hAnsi="Arial" w:cs="Arial"/>
              <w:b/>
              <w:i/>
              <w:iCs/>
              <w:sz w:val="22"/>
              <w:szCs w:val="22"/>
            </w:rPr>
            <w:t>[COMPANY NAME]</w:t>
          </w:r>
        </w:p>
        <w:p w14:paraId="7BAA15B1" w14:textId="77777777" w:rsidR="00871814" w:rsidRPr="00871814" w:rsidRDefault="00871814" w:rsidP="00871814">
          <w:pPr>
            <w:keepNext/>
            <w:suppressAutoHyphens/>
            <w:spacing w:before="60" w:after="60"/>
            <w:jc w:val="center"/>
            <w:outlineLvl w:val="0"/>
            <w:rPr>
              <w:rFonts w:ascii="Arial" w:hAnsi="Arial" w:cs="Arial"/>
              <w:b/>
              <w:bCs/>
              <w:sz w:val="22"/>
              <w:szCs w:val="22"/>
            </w:rPr>
          </w:pPr>
          <w:r w:rsidRPr="00871814">
            <w:rPr>
              <w:rFonts w:ascii="Arial" w:hAnsi="Arial" w:cs="Arial"/>
              <w:b/>
              <w:sz w:val="22"/>
              <w:szCs w:val="22"/>
            </w:rPr>
            <w:t>Quality Management System</w:t>
          </w:r>
        </w:p>
      </w:tc>
      <w:tc>
        <w:tcPr>
          <w:tcW w:w="4094" w:type="dxa"/>
          <w:vAlign w:val="center"/>
          <w:hideMark/>
        </w:tcPr>
        <w:p w14:paraId="470F15F8" w14:textId="4CF7E815"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b/>
              <w:bCs/>
              <w:sz w:val="22"/>
              <w:szCs w:val="22"/>
            </w:rPr>
            <w:t>Doc No: SAMPLE CF 8.1.3</w:t>
          </w:r>
          <w:r w:rsidRPr="00871814">
            <w:rPr>
              <w:rFonts w:ascii="Arial" w:hAnsi="Arial" w:cs="Arial"/>
              <w:sz w:val="22"/>
              <w:szCs w:val="22"/>
            </w:rPr>
          </w:r>
          <w:r>
            <w:rPr>
              <w:rFonts w:ascii="Arial" w:hAnsi="Arial" w:cs="Arial"/>
              <w:sz w:val="22"/>
              <w:szCs w:val="22"/>
            </w:rPr>
          </w:r>
        </w:p>
      </w:tc>
      <w:tc>
        <w:tcPr>
          <w:tcW w:w="2251" w:type="dxa"/>
          <w:vAlign w:val="center"/>
        </w:tcPr>
        <w:p w14:paraId="28CAAFE0" w14:textId="77777777"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sz w:val="22"/>
              <w:szCs w:val="22"/>
            </w:rPr>
            <w:t xml:space="preserve">Page </w:t>
          </w:r>
          <w:r w:rsidRPr="00871814">
            <w:rPr>
              <w:rFonts w:ascii="Arial" w:hAnsi="Arial" w:cs="Arial"/>
              <w:noProof/>
              <w:sz w:val="22"/>
              <w:szCs w:val="22"/>
            </w:rPr>
            <w:fldChar w:fldCharType="begin"/>
          </w:r>
          <w:r w:rsidRPr="00871814">
            <w:rPr>
              <w:rFonts w:ascii="Arial" w:hAnsi="Arial" w:cs="Arial"/>
              <w:noProof/>
              <w:sz w:val="22"/>
              <w:szCs w:val="22"/>
            </w:rPr>
            <w:instrText xml:space="preserve"> PAGE </w:instrText>
          </w:r>
          <w:r w:rsidRPr="00871814">
            <w:rPr>
              <w:rFonts w:ascii="Arial" w:hAnsi="Arial" w:cs="Arial"/>
              <w:noProof/>
              <w:sz w:val="22"/>
              <w:szCs w:val="22"/>
            </w:rPr>
            <w:fldChar w:fldCharType="separate"/>
          </w:r>
          <w:r w:rsidRPr="00871814">
            <w:rPr>
              <w:rFonts w:ascii="Arial" w:hAnsi="Arial" w:cs="Arial"/>
              <w:noProof/>
              <w:sz w:val="22"/>
              <w:szCs w:val="22"/>
            </w:rPr>
            <w:t>3</w:t>
          </w:r>
          <w:r w:rsidRPr="00871814">
            <w:rPr>
              <w:rFonts w:ascii="Arial" w:hAnsi="Arial" w:cs="Arial"/>
              <w:noProof/>
              <w:sz w:val="22"/>
              <w:szCs w:val="22"/>
            </w:rPr>
            <w:fldChar w:fldCharType="end"/>
          </w:r>
          <w:r w:rsidRPr="00871814">
            <w:rPr>
              <w:rFonts w:ascii="Arial" w:hAnsi="Arial" w:cs="Arial"/>
              <w:sz w:val="22"/>
              <w:szCs w:val="22"/>
            </w:rPr>
            <w:t xml:space="preserve"> of </w:t>
          </w:r>
          <w:r w:rsidRPr="00871814">
            <w:rPr>
              <w:rFonts w:ascii="Arial" w:hAnsi="Arial" w:cs="Arial"/>
              <w:noProof/>
              <w:sz w:val="22"/>
              <w:szCs w:val="22"/>
            </w:rPr>
            <w:fldChar w:fldCharType="begin"/>
          </w:r>
          <w:r w:rsidRPr="00871814">
            <w:rPr>
              <w:rFonts w:ascii="Arial" w:hAnsi="Arial" w:cs="Arial"/>
              <w:noProof/>
              <w:sz w:val="22"/>
              <w:szCs w:val="22"/>
            </w:rPr>
            <w:instrText xml:space="preserve"> NUMPAGES  </w:instrText>
          </w:r>
          <w:r w:rsidRPr="00871814">
            <w:rPr>
              <w:rFonts w:ascii="Arial" w:hAnsi="Arial" w:cs="Arial"/>
              <w:noProof/>
              <w:sz w:val="22"/>
              <w:szCs w:val="22"/>
            </w:rPr>
            <w:fldChar w:fldCharType="separate"/>
          </w:r>
          <w:r w:rsidRPr="00871814">
            <w:rPr>
              <w:rFonts w:ascii="Arial" w:hAnsi="Arial" w:cs="Arial"/>
              <w:noProof/>
              <w:sz w:val="22"/>
              <w:szCs w:val="22"/>
            </w:rPr>
            <w:t>40</w:t>
          </w:r>
          <w:r w:rsidRPr="00871814">
            <w:rPr>
              <w:rFonts w:ascii="Arial" w:hAnsi="Arial" w:cs="Arial"/>
              <w:noProof/>
              <w:sz w:val="22"/>
              <w:szCs w:val="22"/>
            </w:rPr>
            <w:fldChar w:fldCharType="end"/>
          </w:r>
        </w:p>
      </w:tc>
    </w:tr>
    <w:tr w:rsidR="00871814" w:rsidRPr="00871814" w14:paraId="797FE9DF" w14:textId="77777777" w:rsidTr="00E23946">
      <w:trPr>
        <w:cantSplit/>
        <w:trHeight w:val="397"/>
      </w:trPr>
      <w:tc>
        <w:tcPr>
          <w:tcW w:w="15140" w:type="dxa"/>
          <w:gridSpan w:val="4"/>
          <w:vAlign w:val="center"/>
          <w:hideMark/>
        </w:tcPr>
        <w:p w14:paraId="162DE391" w14:textId="2EFC9BDF" w:rsidR="00871814" w:rsidRPr="00871814" w:rsidRDefault="00871814" w:rsidP="00871814">
          <w:pPr>
            <w:keepNext/>
            <w:suppressAutoHyphens/>
            <w:spacing w:before="60" w:after="60"/>
            <w:outlineLvl w:val="1"/>
            <w:rPr>
              <w:rFonts w:ascii="Arial" w:hAnsi="Arial" w:cs="Arial"/>
              <w:sz w:val="22"/>
              <w:szCs w:val="22"/>
            </w:rPr>
          </w:pPr>
          <w:r w:rsidRPr="00871814">
            <w:rPr>
              <w:rFonts w:ascii="Arial" w:hAnsi="Arial" w:cs="Arial"/>
              <w:b/>
              <w:bCs/>
              <w:sz w:val="22"/>
              <w:szCs w:val="22"/>
            </w:rPr>
            <w:t>Subject: Master Product and Process Specification   -   SAMPLE, NOT FOR USE IN A LIVE SYSTEM</w:t>
          </w:r>
          <w:r w:rsidRPr="00871814">
            <w:rPr>
              <w:rFonts w:ascii="Arial" w:hAnsi="Arial" w:cs="Arial"/>
              <w:sz w:val="22"/>
              <w:szCs w:val="22"/>
            </w:rPr>
          </w:r>
          <w:r w:rsidRPr="00871814">
            <w:rPr>
              <w:rFonts w:ascii="Arial" w:hAnsi="Arial" w:cs="Arial"/>
              <w:sz w:val="22"/>
              <w:szCs w:val="22"/>
              <w:lang w:val="en-GB"/>
            </w:rPr>
          </w:r>
        </w:p>
      </w:tc>
    </w:tr>
    <w:tr w:rsidR="00871814" w:rsidRPr="00871814" w14:paraId="309A7B80" w14:textId="77777777" w:rsidTr="009F616E">
      <w:trPr>
        <w:cantSplit/>
        <w:trHeight w:hRule="atLeast" w:val="624"/>
      </w:trPr>
      <w:tc>
        <w:tcPr>
          <w:tcW w:w="3268" w:type="dxa"/>
          <w:vAlign w:val="center"/>
          <w:hideMark/>
        </w:tcPr>
        <w:p w14:paraId="3B3C09B2" w14:textId="77777777"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Compiled by: ASC Food Safety Consultants</w:t>
          </w:r>
          <w:r w:rsidRPr="00871814">
            <w:rPr>
              <w:rFonts w:ascii="Arial" w:hAnsi="Arial" w:cs="Arial"/>
              <w:sz w:val="22"/>
              <w:szCs w:val="22"/>
            </w:rPr>
          </w:r>
        </w:p>
      </w:tc>
      <w:tc>
        <w:tcPr>
          <w:tcW w:w="5528" w:type="dxa"/>
          <w:vAlign w:val="center"/>
          <w:hideMark/>
        </w:tcPr>
        <w:p w14:paraId="094CCAE8" w14:textId="77777777" w:rsidR="00871814" w:rsidRPr="00871814" w:rsidRDefault="00871814" w:rsidP="00871814">
          <w:pPr>
            <w:keepNext/>
            <w:suppressAutoHyphens/>
            <w:spacing w:before="60" w:after="60"/>
            <w:outlineLvl w:val="2"/>
            <w:rPr>
              <w:rFonts w:ascii="Arial" w:hAnsi="Arial" w:cs="Arial"/>
              <w:sz w:val="22"/>
              <w:szCs w:val="22"/>
            </w:rPr>
          </w:pPr>
          <w:r w:rsidRPr="00871814">
            <w:rPr>
              <w:rFonts w:ascii="Arial" w:hAnsi="Arial" w:cs="Arial"/>
              <w:b/>
              <w:bCs/>
              <w:sz w:val="22"/>
              <w:szCs w:val="22"/>
            </w:rPr>
            <w:t>Approved by: General Manager</w:t>
          </w:r>
          <w:r w:rsidRPr="00871814">
            <w:rPr>
              <w:rFonts w:ascii="Arial" w:hAnsi="Arial" w:cs="Arial"/>
              <w:sz w:val="22"/>
              <w:szCs w:val="22"/>
            </w:rPr>
          </w:r>
          <w:r w:rsidRPr="00871814">
            <w:rPr>
              <w:rFonts w:ascii="Arial" w:hAnsi="Arial" w:cs="Arial"/>
              <w:b/>
              <w:bCs/>
              <w:sz w:val="22"/>
              <w:szCs w:val="22"/>
            </w:rPr>
          </w:r>
          <w:r w:rsidRPr="00871814">
            <w:rPr>
              <w:rFonts w:ascii="Arial" w:hAnsi="Arial" w:cs="Arial"/>
              <w:sz w:val="22"/>
              <w:szCs w:val="22"/>
            </w:rPr>
          </w:r>
        </w:p>
      </w:tc>
      <w:tc>
        <w:tcPr>
          <w:tcW w:w="4094" w:type="dxa"/>
          <w:vAlign w:val="center"/>
          <w:hideMark/>
        </w:tcPr>
        <w:p w14:paraId="6210E691" w14:textId="0CF8BC7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Date: 01 Sep 2026</w:t>
          </w:r>
          <w:r w:rsidRPr="00871814">
            <w:rPr>
              <w:rFonts w:ascii="Arial" w:hAnsi="Arial" w:cs="Arial"/>
              <w:sz w:val="22"/>
              <w:szCs w:val="22"/>
            </w:rPr>
          </w:r>
          <w:r w:rsidR="009F616E" w:rsidRPr="009F616E">
            <w:rPr>
              <w:rFonts w:ascii="Arial" w:hAnsi="Arial" w:cs="Arial"/>
              <w:sz w:val="22"/>
              <w:szCs w:val="22"/>
            </w:rPr>
          </w:r>
        </w:p>
      </w:tc>
      <w:tc>
        <w:tcPr>
          <w:tcW w:w="2251" w:type="dxa"/>
          <w:vAlign w:val="center"/>
        </w:tcPr>
        <w:p w14:paraId="3D6A4309" w14:textId="16BFD09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sz w:val="22"/>
              <w:szCs w:val="22"/>
            </w:rPr>
            <w:t>Rev no: 01</w:t>
          </w:r>
          <w:r w:rsidRPr="00871814">
            <w:rPr>
              <w:rFonts w:ascii="Arial" w:hAnsi="Arial" w:cs="Arial"/>
              <w:bCs/>
              <w:sz w:val="22"/>
              <w:szCs w:val="22"/>
            </w:rPr>
          </w:r>
          <w:r w:rsidR="009F616E">
            <w:rPr>
              <w:rFonts w:ascii="Arial" w:hAnsi="Arial" w:cs="Arial"/>
              <w:bCs/>
              <w:sz w:val="22"/>
              <w:szCs w:val="22"/>
            </w:rPr>
          </w:r>
        </w:p>
      </w:tc>
    </w:tr>
    <w:bookmarkEnd w:id="0"/>
  </w:tbl>
  <w:p w14:paraId="74FE866C" w14:textId="77777777" w:rsidR="00871814" w:rsidRDefault="00871814" w:rsidP="00871814">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0E8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 w15:restartNumberingAfterBreak="0">
    <w:nsid w:val="1091444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3EB60317"/>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 w15:restartNumberingAfterBreak="0">
    <w:nsid w:val="54DD7576"/>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58201A2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64206664"/>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6812594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7" w15:restartNumberingAfterBreak="0">
    <w:nsid w:val="75C84540"/>
    <w:multiLevelType w:val="multilevel"/>
    <w:tmpl w:val="E9A26A2E"/>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797438B3"/>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num w:numId="1" w16cid:durableId="154348501">
    <w:abstractNumId w:val="1"/>
  </w:num>
  <w:num w:numId="2" w16cid:durableId="1624924731">
    <w:abstractNumId w:val="3"/>
  </w:num>
  <w:num w:numId="3" w16cid:durableId="1647927511">
    <w:abstractNumId w:val="8"/>
  </w:num>
  <w:num w:numId="4" w16cid:durableId="390037252">
    <w:abstractNumId w:val="2"/>
  </w:num>
  <w:num w:numId="5" w16cid:durableId="656497453">
    <w:abstractNumId w:val="0"/>
  </w:num>
  <w:num w:numId="6" w16cid:durableId="1643387744">
    <w:abstractNumId w:val="6"/>
  </w:num>
  <w:num w:numId="7" w16cid:durableId="2041930642">
    <w:abstractNumId w:val="7"/>
  </w:num>
  <w:num w:numId="8" w16cid:durableId="195626701">
    <w:abstractNumId w:val="4"/>
  </w:num>
  <w:num w:numId="9" w16cid:durableId="78966607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2F"/>
    <w:rsid w:val="00001262"/>
    <w:rsid w:val="00003C26"/>
    <w:rsid w:val="0000508E"/>
    <w:rsid w:val="00014FDF"/>
    <w:rsid w:val="00016E64"/>
    <w:rsid w:val="0003016A"/>
    <w:rsid w:val="0003637A"/>
    <w:rsid w:val="0004297E"/>
    <w:rsid w:val="0004718F"/>
    <w:rsid w:val="0005029E"/>
    <w:rsid w:val="0005731D"/>
    <w:rsid w:val="00061431"/>
    <w:rsid w:val="000626A5"/>
    <w:rsid w:val="00064263"/>
    <w:rsid w:val="0007458B"/>
    <w:rsid w:val="00083BC0"/>
    <w:rsid w:val="00085A15"/>
    <w:rsid w:val="0008648C"/>
    <w:rsid w:val="000A7958"/>
    <w:rsid w:val="000A7B51"/>
    <w:rsid w:val="000B4F02"/>
    <w:rsid w:val="000B62AE"/>
    <w:rsid w:val="000C173E"/>
    <w:rsid w:val="000C22A3"/>
    <w:rsid w:val="000C26B5"/>
    <w:rsid w:val="000F296F"/>
    <w:rsid w:val="00107B26"/>
    <w:rsid w:val="0012320D"/>
    <w:rsid w:val="00126DED"/>
    <w:rsid w:val="00126EAF"/>
    <w:rsid w:val="001508F3"/>
    <w:rsid w:val="001671AD"/>
    <w:rsid w:val="00172D5F"/>
    <w:rsid w:val="00191ED2"/>
    <w:rsid w:val="001976B4"/>
    <w:rsid w:val="00197BBF"/>
    <w:rsid w:val="001A0F18"/>
    <w:rsid w:val="001A58F3"/>
    <w:rsid w:val="001C5B77"/>
    <w:rsid w:val="001C7FA2"/>
    <w:rsid w:val="001D0A4B"/>
    <w:rsid w:val="001E60ED"/>
    <w:rsid w:val="001F28C0"/>
    <w:rsid w:val="001F68E9"/>
    <w:rsid w:val="002000DB"/>
    <w:rsid w:val="002236A0"/>
    <w:rsid w:val="00234989"/>
    <w:rsid w:val="0026024B"/>
    <w:rsid w:val="0026410F"/>
    <w:rsid w:val="0027206B"/>
    <w:rsid w:val="002759EA"/>
    <w:rsid w:val="00276DAF"/>
    <w:rsid w:val="002801DE"/>
    <w:rsid w:val="00284151"/>
    <w:rsid w:val="00290565"/>
    <w:rsid w:val="002948AE"/>
    <w:rsid w:val="002B3C6C"/>
    <w:rsid w:val="002B4055"/>
    <w:rsid w:val="002B4183"/>
    <w:rsid w:val="002B578B"/>
    <w:rsid w:val="002C046D"/>
    <w:rsid w:val="002C547C"/>
    <w:rsid w:val="002D2747"/>
    <w:rsid w:val="002D4A99"/>
    <w:rsid w:val="002D5FD0"/>
    <w:rsid w:val="002E6216"/>
    <w:rsid w:val="002E7D67"/>
    <w:rsid w:val="003012E5"/>
    <w:rsid w:val="0030504C"/>
    <w:rsid w:val="0030771A"/>
    <w:rsid w:val="003142AA"/>
    <w:rsid w:val="00326FE7"/>
    <w:rsid w:val="00330E8B"/>
    <w:rsid w:val="003327DC"/>
    <w:rsid w:val="00337A42"/>
    <w:rsid w:val="00341D80"/>
    <w:rsid w:val="00342654"/>
    <w:rsid w:val="003477A4"/>
    <w:rsid w:val="00352164"/>
    <w:rsid w:val="00353DC7"/>
    <w:rsid w:val="00355438"/>
    <w:rsid w:val="00364AB8"/>
    <w:rsid w:val="00372AB6"/>
    <w:rsid w:val="003807C1"/>
    <w:rsid w:val="003868EF"/>
    <w:rsid w:val="003A333B"/>
    <w:rsid w:val="003A7945"/>
    <w:rsid w:val="003B7812"/>
    <w:rsid w:val="003D1545"/>
    <w:rsid w:val="003D15B4"/>
    <w:rsid w:val="003D3DB6"/>
    <w:rsid w:val="003D4E18"/>
    <w:rsid w:val="003D58F1"/>
    <w:rsid w:val="003D7C0E"/>
    <w:rsid w:val="004025FD"/>
    <w:rsid w:val="004225F3"/>
    <w:rsid w:val="00425297"/>
    <w:rsid w:val="00433C8C"/>
    <w:rsid w:val="004356C6"/>
    <w:rsid w:val="00440DC2"/>
    <w:rsid w:val="00446D93"/>
    <w:rsid w:val="004604FD"/>
    <w:rsid w:val="004644C7"/>
    <w:rsid w:val="00465A1C"/>
    <w:rsid w:val="00467389"/>
    <w:rsid w:val="00472CF0"/>
    <w:rsid w:val="0047338B"/>
    <w:rsid w:val="004737E0"/>
    <w:rsid w:val="004A4AD6"/>
    <w:rsid w:val="004A67A6"/>
    <w:rsid w:val="004B5B6E"/>
    <w:rsid w:val="004C5370"/>
    <w:rsid w:val="004C5DA3"/>
    <w:rsid w:val="004E2301"/>
    <w:rsid w:val="004E4F93"/>
    <w:rsid w:val="004E6D2B"/>
    <w:rsid w:val="00504375"/>
    <w:rsid w:val="00504D51"/>
    <w:rsid w:val="00517C80"/>
    <w:rsid w:val="00532283"/>
    <w:rsid w:val="00533B25"/>
    <w:rsid w:val="005377DF"/>
    <w:rsid w:val="00545B5F"/>
    <w:rsid w:val="00560B50"/>
    <w:rsid w:val="005659CC"/>
    <w:rsid w:val="0056754A"/>
    <w:rsid w:val="00574B0E"/>
    <w:rsid w:val="00576AF0"/>
    <w:rsid w:val="005800D8"/>
    <w:rsid w:val="005844DF"/>
    <w:rsid w:val="00590588"/>
    <w:rsid w:val="005966D3"/>
    <w:rsid w:val="00597CF6"/>
    <w:rsid w:val="005B45A0"/>
    <w:rsid w:val="005E38C8"/>
    <w:rsid w:val="005E62CE"/>
    <w:rsid w:val="005F18D3"/>
    <w:rsid w:val="005F6113"/>
    <w:rsid w:val="00604CB8"/>
    <w:rsid w:val="00617EA8"/>
    <w:rsid w:val="00625F32"/>
    <w:rsid w:val="00626410"/>
    <w:rsid w:val="006344FB"/>
    <w:rsid w:val="00653D26"/>
    <w:rsid w:val="006549F3"/>
    <w:rsid w:val="00667AD6"/>
    <w:rsid w:val="00680B1B"/>
    <w:rsid w:val="006A6AE4"/>
    <w:rsid w:val="006C0B3B"/>
    <w:rsid w:val="006E6F25"/>
    <w:rsid w:val="006F2725"/>
    <w:rsid w:val="006F44F3"/>
    <w:rsid w:val="00704F5A"/>
    <w:rsid w:val="007372FE"/>
    <w:rsid w:val="007403D6"/>
    <w:rsid w:val="007432C5"/>
    <w:rsid w:val="00744E4E"/>
    <w:rsid w:val="00745438"/>
    <w:rsid w:val="0075050D"/>
    <w:rsid w:val="00750640"/>
    <w:rsid w:val="00770B88"/>
    <w:rsid w:val="0077343A"/>
    <w:rsid w:val="00773FC6"/>
    <w:rsid w:val="00783BC1"/>
    <w:rsid w:val="00785246"/>
    <w:rsid w:val="00792258"/>
    <w:rsid w:val="00795F75"/>
    <w:rsid w:val="007961C4"/>
    <w:rsid w:val="00797324"/>
    <w:rsid w:val="007A1476"/>
    <w:rsid w:val="007B160A"/>
    <w:rsid w:val="007B4AF9"/>
    <w:rsid w:val="007B79A0"/>
    <w:rsid w:val="007C148B"/>
    <w:rsid w:val="007C252F"/>
    <w:rsid w:val="007C27D6"/>
    <w:rsid w:val="007C4DFE"/>
    <w:rsid w:val="007C5B05"/>
    <w:rsid w:val="007D3E38"/>
    <w:rsid w:val="007D56EC"/>
    <w:rsid w:val="007D57DE"/>
    <w:rsid w:val="007F0076"/>
    <w:rsid w:val="007F3DEE"/>
    <w:rsid w:val="00804FD9"/>
    <w:rsid w:val="00805AAD"/>
    <w:rsid w:val="00812C85"/>
    <w:rsid w:val="00817FE1"/>
    <w:rsid w:val="00822101"/>
    <w:rsid w:val="00826DE8"/>
    <w:rsid w:val="00835E42"/>
    <w:rsid w:val="00864903"/>
    <w:rsid w:val="00865E87"/>
    <w:rsid w:val="00866B10"/>
    <w:rsid w:val="00866BDF"/>
    <w:rsid w:val="008677B2"/>
    <w:rsid w:val="00871814"/>
    <w:rsid w:val="00874A21"/>
    <w:rsid w:val="00880FF9"/>
    <w:rsid w:val="00887643"/>
    <w:rsid w:val="00895175"/>
    <w:rsid w:val="00896BB2"/>
    <w:rsid w:val="008B4033"/>
    <w:rsid w:val="008D18ED"/>
    <w:rsid w:val="008D72FB"/>
    <w:rsid w:val="008E3E3D"/>
    <w:rsid w:val="008F2488"/>
    <w:rsid w:val="008F6653"/>
    <w:rsid w:val="00907CAE"/>
    <w:rsid w:val="00910B68"/>
    <w:rsid w:val="00910FB2"/>
    <w:rsid w:val="00916F45"/>
    <w:rsid w:val="00920024"/>
    <w:rsid w:val="00925E29"/>
    <w:rsid w:val="009344F3"/>
    <w:rsid w:val="009418BE"/>
    <w:rsid w:val="0097345A"/>
    <w:rsid w:val="00985D33"/>
    <w:rsid w:val="00994C5F"/>
    <w:rsid w:val="00995CB2"/>
    <w:rsid w:val="00996343"/>
    <w:rsid w:val="00997404"/>
    <w:rsid w:val="009A7D3B"/>
    <w:rsid w:val="009B1B43"/>
    <w:rsid w:val="009B7114"/>
    <w:rsid w:val="009C220B"/>
    <w:rsid w:val="009C4643"/>
    <w:rsid w:val="009D4540"/>
    <w:rsid w:val="009E17A0"/>
    <w:rsid w:val="009E2836"/>
    <w:rsid w:val="009E4511"/>
    <w:rsid w:val="009F616E"/>
    <w:rsid w:val="009F781C"/>
    <w:rsid w:val="00A01A1E"/>
    <w:rsid w:val="00A04980"/>
    <w:rsid w:val="00A0628E"/>
    <w:rsid w:val="00A155AC"/>
    <w:rsid w:val="00A17426"/>
    <w:rsid w:val="00A26304"/>
    <w:rsid w:val="00A30EA6"/>
    <w:rsid w:val="00A41E69"/>
    <w:rsid w:val="00A43218"/>
    <w:rsid w:val="00A632AC"/>
    <w:rsid w:val="00A63355"/>
    <w:rsid w:val="00A775F6"/>
    <w:rsid w:val="00A856B6"/>
    <w:rsid w:val="00A90264"/>
    <w:rsid w:val="00AA32BC"/>
    <w:rsid w:val="00AA75AC"/>
    <w:rsid w:val="00AB47ED"/>
    <w:rsid w:val="00AD033F"/>
    <w:rsid w:val="00AD53C6"/>
    <w:rsid w:val="00AE1F12"/>
    <w:rsid w:val="00AE44EE"/>
    <w:rsid w:val="00AE4B4D"/>
    <w:rsid w:val="00B024DC"/>
    <w:rsid w:val="00B04A3D"/>
    <w:rsid w:val="00B146FC"/>
    <w:rsid w:val="00B16250"/>
    <w:rsid w:val="00B478DF"/>
    <w:rsid w:val="00B54CD8"/>
    <w:rsid w:val="00B5784B"/>
    <w:rsid w:val="00B6461D"/>
    <w:rsid w:val="00B67967"/>
    <w:rsid w:val="00B6796F"/>
    <w:rsid w:val="00B82C47"/>
    <w:rsid w:val="00B84213"/>
    <w:rsid w:val="00BA213E"/>
    <w:rsid w:val="00BC3666"/>
    <w:rsid w:val="00BC4DDE"/>
    <w:rsid w:val="00BD0295"/>
    <w:rsid w:val="00C04986"/>
    <w:rsid w:val="00C11F75"/>
    <w:rsid w:val="00C1512B"/>
    <w:rsid w:val="00C21121"/>
    <w:rsid w:val="00C307E1"/>
    <w:rsid w:val="00C36C2A"/>
    <w:rsid w:val="00C41989"/>
    <w:rsid w:val="00C4392C"/>
    <w:rsid w:val="00C479A5"/>
    <w:rsid w:val="00C50BDB"/>
    <w:rsid w:val="00C562F9"/>
    <w:rsid w:val="00C6135B"/>
    <w:rsid w:val="00C6490D"/>
    <w:rsid w:val="00C812DA"/>
    <w:rsid w:val="00C81E79"/>
    <w:rsid w:val="00C97CCC"/>
    <w:rsid w:val="00CA107C"/>
    <w:rsid w:val="00CB4681"/>
    <w:rsid w:val="00CB6B66"/>
    <w:rsid w:val="00CC271E"/>
    <w:rsid w:val="00D01627"/>
    <w:rsid w:val="00D01F8A"/>
    <w:rsid w:val="00D06BA0"/>
    <w:rsid w:val="00D16304"/>
    <w:rsid w:val="00D24274"/>
    <w:rsid w:val="00D50D7B"/>
    <w:rsid w:val="00D51023"/>
    <w:rsid w:val="00D55535"/>
    <w:rsid w:val="00D57788"/>
    <w:rsid w:val="00D6029C"/>
    <w:rsid w:val="00D6173E"/>
    <w:rsid w:val="00D633E1"/>
    <w:rsid w:val="00D759DB"/>
    <w:rsid w:val="00D91CEC"/>
    <w:rsid w:val="00D95CCC"/>
    <w:rsid w:val="00DA01D1"/>
    <w:rsid w:val="00DA29CE"/>
    <w:rsid w:val="00DA5944"/>
    <w:rsid w:val="00DA5DCE"/>
    <w:rsid w:val="00DA722B"/>
    <w:rsid w:val="00DB3206"/>
    <w:rsid w:val="00DB3849"/>
    <w:rsid w:val="00DC0B01"/>
    <w:rsid w:val="00DD0B55"/>
    <w:rsid w:val="00DD19A2"/>
    <w:rsid w:val="00DD2749"/>
    <w:rsid w:val="00DD6230"/>
    <w:rsid w:val="00DD7DFA"/>
    <w:rsid w:val="00DF61C5"/>
    <w:rsid w:val="00DF7D46"/>
    <w:rsid w:val="00E04A7E"/>
    <w:rsid w:val="00E2248F"/>
    <w:rsid w:val="00E242A6"/>
    <w:rsid w:val="00E30DF7"/>
    <w:rsid w:val="00E35FDC"/>
    <w:rsid w:val="00E43A12"/>
    <w:rsid w:val="00E43A65"/>
    <w:rsid w:val="00E44018"/>
    <w:rsid w:val="00E443CC"/>
    <w:rsid w:val="00E51571"/>
    <w:rsid w:val="00E567E2"/>
    <w:rsid w:val="00E628E6"/>
    <w:rsid w:val="00E72FCF"/>
    <w:rsid w:val="00E77CF3"/>
    <w:rsid w:val="00E943ED"/>
    <w:rsid w:val="00E97805"/>
    <w:rsid w:val="00E97A97"/>
    <w:rsid w:val="00EB7A6C"/>
    <w:rsid w:val="00EC4EA6"/>
    <w:rsid w:val="00ED58AB"/>
    <w:rsid w:val="00ED5E86"/>
    <w:rsid w:val="00ED6A22"/>
    <w:rsid w:val="00EE2480"/>
    <w:rsid w:val="00EE27CA"/>
    <w:rsid w:val="00EF12D7"/>
    <w:rsid w:val="00EF1CA8"/>
    <w:rsid w:val="00EF516F"/>
    <w:rsid w:val="00F05C40"/>
    <w:rsid w:val="00F11D0E"/>
    <w:rsid w:val="00F1461F"/>
    <w:rsid w:val="00F17AF6"/>
    <w:rsid w:val="00F219E3"/>
    <w:rsid w:val="00F30437"/>
    <w:rsid w:val="00F32AAA"/>
    <w:rsid w:val="00F3737D"/>
    <w:rsid w:val="00F41F49"/>
    <w:rsid w:val="00F52C88"/>
    <w:rsid w:val="00F55A82"/>
    <w:rsid w:val="00F56C0F"/>
    <w:rsid w:val="00F62B53"/>
    <w:rsid w:val="00F66090"/>
    <w:rsid w:val="00F71BB2"/>
    <w:rsid w:val="00F72D02"/>
    <w:rsid w:val="00F738D2"/>
    <w:rsid w:val="00F76A4B"/>
    <w:rsid w:val="00F92588"/>
    <w:rsid w:val="00F97BE6"/>
    <w:rsid w:val="00FB17FC"/>
    <w:rsid w:val="00FB7ACB"/>
    <w:rsid w:val="00FE5174"/>
    <w:rsid w:val="4C4BEE0C"/>
    <w:rsid w:val="76118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BBA60"/>
  <w14:defaultImageDpi w14:val="300"/>
  <w15:docId w15:val="{39DAA707-9E6F-43F0-A38C-BD73837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cs="Arial" w:eastAsia="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52F"/>
    <w:pPr>
      <w:spacing w:after="120"/>
    </w:pPr>
    <w:rPr>
      <w:rFonts w:ascii="Arial" w:hAnsi="Arial" w:cs="Arial"/>
      <w:sz w:val="24"/>
      <w:lang w:eastAsia="en-US"/>
    </w:rPr>
  </w:style>
  <w:style w:type="paragraph" w:styleId="Heading1">
    <w:name w:val="heading 1"/>
    <w:basedOn w:val="Normal"/>
    <w:next w:val="Normal"/>
    <w:link w:val="Heading1Char"/>
    <w:uiPriority w:val="9"/>
    <w:qFormat/>
    <w:rsid w:val="009E45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E4511"/>
    <w:pPr>
      <w:keepNext/>
      <w:spacing w:before="240" w:after="60"/>
      <w:outlineLvl w:val="1"/>
    </w:pPr>
    <w:rPr>
      <w:rFonts w:ascii="Cambria" w:hAnsi="Cambria"/>
      <w:b/>
      <w:bCs/>
      <w:i/>
      <w:iCs/>
      <w:sz w:val="28"/>
      <w:szCs w:val="28"/>
    </w:rPr>
  </w:style>
  <w:style w:type="paragraph" w:styleId="Heading3">
    <w:name w:val="heading 3"/>
    <w:basedOn w:val="Normal"/>
    <w:next w:val="Normal"/>
    <w:autoRedefine/>
    <w:qFormat/>
    <w:rsid w:val="007C252F"/>
    <w:pPr>
      <w:keepNext/>
      <w:tabs>
        <w:tab w:val="left" w:pos="-720"/>
        <w:tab w:val="left" w:pos="0"/>
        <w:tab w:val="left" w:pos="720"/>
        <w:tab w:val="left" w:pos="1440"/>
      </w:tabs>
      <w:spacing w:before="120"/>
      <w:jc w:val="both"/>
      <w:outlineLvl w:val="2"/>
    </w:pPr>
    <w:rPr>
      <w:rFonts w:ascii="Arial" w:hAnsi="Arial" w:cs="Arial"/>
      <w:b/>
      <w:caps/>
      <w:szCs w:val="24"/>
    </w:rPr>
  </w:style>
  <w:style w:type="paragraph" w:styleId="Heading5">
    <w:name w:val="heading 5"/>
    <w:basedOn w:val="Normal"/>
    <w:next w:val="Normal"/>
    <w:link w:val="Heading5Char"/>
    <w:uiPriority w:val="9"/>
    <w:semiHidden/>
    <w:unhideWhenUsed/>
    <w:qFormat/>
    <w:rsid w:val="009E451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C252F"/>
    <w:pPr>
      <w:tabs>
        <w:tab w:val="center" w:pos="4320"/>
        <w:tab w:val="right" w:pos="8640"/>
      </w:tabs>
    </w:pPr>
  </w:style>
  <w:style w:type="paragraph" w:styleId="Footer">
    <w:name w:val="footer"/>
    <w:basedOn w:val="Normal"/>
    <w:rsid w:val="007C252F"/>
    <w:pPr>
      <w:tabs>
        <w:tab w:val="center" w:pos="4320"/>
        <w:tab w:val="right" w:pos="8640"/>
      </w:tabs>
    </w:pPr>
  </w:style>
  <w:style w:type="table" w:styleId="TableGrid">
    <w:name w:val="Table Grid"/>
    <w:basedOn w:val="TableNormal"/>
    <w:rsid w:val="007C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cedureText">
    <w:name w:val="Procedure Text"/>
    <w:basedOn w:val="Normal"/>
    <w:autoRedefine/>
    <w:rsid w:val="007C252F"/>
    <w:pPr>
      <w:autoSpaceDE w:val="0"/>
      <w:autoSpaceDN w:val="0"/>
      <w:ind w:left="720" w:hanging="360"/>
    </w:pPr>
    <w:rPr>
      <w:szCs w:val="24"/>
    </w:rPr>
  </w:style>
  <w:style w:type="paragraph" w:customStyle="1" w:styleId="MediumGrid21">
    <w:name w:val="Medium Grid 21"/>
    <w:uiPriority w:val="1"/>
    <w:qFormat/>
    <w:rsid w:val="00014FDF"/>
    <w:rPr>
      <w:sz w:val="24"/>
      <w:lang w:eastAsia="en-US"/>
    </w:rPr>
  </w:style>
  <w:style w:type="paragraph" w:styleId="Subtitle">
    <w:name w:val="Subtitle"/>
    <w:basedOn w:val="Normal"/>
    <w:link w:val="SubtitleChar"/>
    <w:qFormat/>
    <w:rsid w:val="00465A1C"/>
    <w:pPr>
      <w:spacing w:after="0"/>
    </w:pPr>
    <w:rPr>
      <w:rFonts w:ascii="Arial" w:hAnsi="Arial"/>
      <w:szCs w:val="24"/>
      <w:u w:val="single"/>
      <w:lang w:val="x-none" w:eastAsia="x-none"/>
    </w:rPr>
  </w:style>
  <w:style w:type="character" w:customStyle="1" w:styleId="SubtitleChar">
    <w:name w:val="Subtitle Char"/>
    <w:link w:val="Subtitle"/>
    <w:rsid w:val="00465A1C"/>
    <w:rPr>
      <w:rFonts w:ascii="Arial" w:hAnsi="Arial" w:cs="Arial"/>
      <w:sz w:val="24"/>
      <w:szCs w:val="24"/>
      <w:u w:val="single"/>
    </w:rPr>
  </w:style>
  <w:style w:type="paragraph" w:customStyle="1" w:styleId="MediumGrid1-Accent21">
    <w:name w:val="Medium Grid 1 - Accent 21"/>
    <w:basedOn w:val="Normal"/>
    <w:qFormat/>
    <w:rsid w:val="00DA722B"/>
    <w:pPr>
      <w:ind w:left="720"/>
    </w:pPr>
  </w:style>
  <w:style w:type="paragraph" w:styleId="BalloonText">
    <w:name w:val="Balloon Text"/>
    <w:basedOn w:val="Normal"/>
    <w:link w:val="BalloonTextChar"/>
    <w:uiPriority w:val="99"/>
    <w:semiHidden/>
    <w:unhideWhenUsed/>
    <w:rsid w:val="00C21121"/>
    <w:pPr>
      <w:spacing w:after="0"/>
    </w:pPr>
    <w:rPr>
      <w:rFonts w:ascii="Tahoma" w:hAnsi="Tahoma"/>
      <w:sz w:val="16"/>
      <w:szCs w:val="16"/>
    </w:rPr>
  </w:style>
  <w:style w:type="character" w:customStyle="1" w:styleId="BalloonTextChar">
    <w:name w:val="Balloon Text Char"/>
    <w:link w:val="BalloonText"/>
    <w:uiPriority w:val="99"/>
    <w:semiHidden/>
    <w:rsid w:val="00C21121"/>
    <w:rPr>
      <w:rFonts w:ascii="Tahoma" w:hAnsi="Tahoma" w:cs="Tahoma"/>
      <w:sz w:val="16"/>
      <w:szCs w:val="16"/>
      <w:lang w:val="en-US" w:eastAsia="en-US"/>
    </w:rPr>
  </w:style>
  <w:style w:type="paragraph" w:customStyle="1" w:styleId="ColorfulList-Accent11">
    <w:name w:val="Colorful List - Accent 11"/>
    <w:basedOn w:val="Normal"/>
    <w:uiPriority w:val="34"/>
    <w:qFormat/>
    <w:rsid w:val="00AE4B4D"/>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unhideWhenUsed/>
    <w:rsid w:val="00653D26"/>
    <w:rPr>
      <w:szCs w:val="24"/>
      <w:lang w:val="en-GB"/>
    </w:rPr>
  </w:style>
  <w:style w:type="character" w:customStyle="1" w:styleId="BodyTextChar">
    <w:name w:val="Body Text Char"/>
    <w:link w:val="BodyText"/>
    <w:uiPriority w:val="99"/>
    <w:rsid w:val="00653D26"/>
    <w:rPr>
      <w:sz w:val="24"/>
      <w:szCs w:val="24"/>
      <w:lang w:val="en-GB"/>
    </w:rPr>
  </w:style>
  <w:style w:type="character" w:styleId="Hyperlink">
    <w:name w:val="Hyperlink"/>
    <w:rsid w:val="00653D26"/>
    <w:rPr>
      <w:color w:val="0000FF"/>
      <w:u w:val="single"/>
    </w:rPr>
  </w:style>
  <w:style w:type="character" w:customStyle="1" w:styleId="Heading1Char">
    <w:name w:val="Heading 1 Char"/>
    <w:link w:val="Heading1"/>
    <w:uiPriority w:val="9"/>
    <w:rsid w:val="009E4511"/>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9"/>
    <w:semiHidden/>
    <w:rsid w:val="009E4511"/>
    <w:rPr>
      <w:rFonts w:ascii="Cambria" w:eastAsia="Times New Roman" w:hAnsi="Cambria" w:cs="Times New Roman"/>
      <w:b/>
      <w:bCs/>
      <w:i/>
      <w:iCs/>
      <w:sz w:val="28"/>
      <w:szCs w:val="28"/>
      <w:lang w:val="en-US" w:eastAsia="en-US"/>
    </w:rPr>
  </w:style>
  <w:style w:type="character" w:customStyle="1" w:styleId="Heading5Char">
    <w:name w:val="Heading 5 Char"/>
    <w:link w:val="Heading5"/>
    <w:uiPriority w:val="9"/>
    <w:semiHidden/>
    <w:rsid w:val="009E4511"/>
    <w:rPr>
      <w:rFonts w:ascii="Calibri" w:eastAsia="Times New Roman" w:hAnsi="Calibri" w:cs="Times New Roman"/>
      <w:b/>
      <w:bCs/>
      <w:i/>
      <w:iCs/>
      <w:sz w:val="26"/>
      <w:szCs w:val="26"/>
      <w:lang w:val="en-US" w:eastAsia="en-US"/>
    </w:rPr>
  </w:style>
  <w:style w:type="paragraph" w:styleId="BodyTextIndent">
    <w:name w:val="Body Text Indent"/>
    <w:basedOn w:val="Normal"/>
    <w:link w:val="BodyTextIndentChar"/>
    <w:uiPriority w:val="99"/>
    <w:semiHidden/>
    <w:unhideWhenUsed/>
    <w:rsid w:val="00F55A82"/>
    <w:pPr>
      <w:ind w:left="283"/>
    </w:pPr>
  </w:style>
  <w:style w:type="character" w:customStyle="1" w:styleId="BodyTextIndentChar">
    <w:name w:val="Body Text Indent Char"/>
    <w:link w:val="BodyTextIndent"/>
    <w:uiPriority w:val="99"/>
    <w:semiHidden/>
    <w:rsid w:val="00F55A82"/>
    <w:rPr>
      <w:sz w:val="24"/>
      <w:lang w:val="en-US" w:eastAsia="en-US"/>
    </w:rPr>
  </w:style>
  <w:style w:type="paragraph" w:styleId="BodyText2">
    <w:name w:val="Body Text 2"/>
    <w:basedOn w:val="Normal"/>
    <w:link w:val="BodyText2Char"/>
    <w:uiPriority w:val="99"/>
    <w:semiHidden/>
    <w:unhideWhenUsed/>
    <w:rsid w:val="00F55A82"/>
    <w:pPr>
      <w:spacing w:line="480" w:lineRule="auto"/>
    </w:pPr>
  </w:style>
  <w:style w:type="character" w:customStyle="1" w:styleId="BodyText2Char">
    <w:name w:val="Body Text 2 Char"/>
    <w:link w:val="BodyText2"/>
    <w:uiPriority w:val="99"/>
    <w:semiHidden/>
    <w:rsid w:val="00F55A82"/>
    <w:rPr>
      <w:sz w:val="24"/>
      <w:lang w:val="en-US" w:eastAsia="en-US"/>
    </w:rPr>
  </w:style>
  <w:style w:type="paragraph" w:customStyle="1" w:styleId="Heading">
    <w:name w:val="Heading"/>
    <w:next w:val="Normal"/>
    <w:qFormat/>
    <w:rsid w:val="00F3737D"/>
    <w:pPr>
      <w:autoSpaceDE w:val="0"/>
      <w:autoSpaceDN w:val="0"/>
      <w:adjustRightInd w:val="0"/>
      <w:spacing w:before="120" w:after="240"/>
      <w:jc w:val="both"/>
    </w:pPr>
    <w:rPr>
      <w:rFonts w:ascii="Arial" w:hAnsi="Arial" w:cs="Arial"/>
      <w:b/>
      <w:bCs/>
      <w:sz w:val="24"/>
      <w:szCs w:val="22"/>
      <w:lang w:eastAsia="en-US"/>
    </w:rPr>
  </w:style>
  <w:style w:type="paragraph" w:styleId="ListParagraph">
    <w:name w:val="List Paragraph"/>
    <w:basedOn w:val="Normal"/>
    <w:uiPriority w:val="34"/>
    <w:qFormat/>
    <w:rsid w:val="001D0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F5B7-D48E-460D-B2C7-67F4FFA3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FS 16</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Control of Suppliers</dc:subject>
  <dc:creator>ASC Food Safety Consultants</dc:creator>
  <cp:keywords/>
  <cp:lastModifiedBy>ASC Food Safety Consultants</cp:lastModifiedBy>
  <cp:revision>15</cp:revision>
  <cp:lastPrinted>2020-11-11T07:01:00Z</cp:lastPrinted>
  <dcterms:created xsi:type="dcterms:W3CDTF">2021-09-28T09:03:00Z</dcterms:created>
  <dcterms:modified xsi:type="dcterms:W3CDTF">2022-09-13T10:30:00Z</dcterms:modified>
</cp:coreProperties>
</file>