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Bdr>
          <w:top w:val="single" w:sz="12" w:space="4" w:color="C00000"/>
          <w:left w:val="single" w:sz="12" w:space="4" w:color="C00000"/>
          <w:bottom w:val="single" w:sz="12" w:space="4" w:color="C00000"/>
          <w:right w:val="single" w:sz="12" w:space="4" w:color="C00000"/>
        </w:pBdr>
        <w:shd w:val="clear" w:color="auto" w:fill="FDECEA"/>
        <w:spacing w:before="0" w:after="240"/>
        <w:jc w:val="both"/>
      </w:pPr>
      <w:r>
        <w:rPr>
          <w:rFonts w:ascii="Arial" w:hAnsi="Arial" w:cs="Arial"/>
          <w:b/>
          <w:color w:val="C00000"/>
          <w:sz w:val="20"/>
        </w:rPr>
        <w:t xml:space="preserve">SAMPLE DOCUMENT - ISO 9001:2026 Packaging Quality Toolkit (TK03) from ASC Food Safety Consultants. This is one of 202 documents in the toolkit, supplied free so you can see the standard of the work before you buy. It is a worked example for a food contact packaging site and is not licensed for use in a live management system. The full toolkit is at ascfoodsafety.com/fsms-templates</w:t>
      </w:r>
    </w:p>
    <w:p>
      <w:pPr>
        <w:autoSpaceDE w:val="0"/>
        <w:autoSpaceDN w:val="0"/>
        <w:adjustRightInd w:val="0"/>
        <w:spacing w:before="120" w:after="480"/>
        <w:jc w:val="center"/>
        <w:rPr>
          <w:rFonts w:ascii="Arial" w:hAnsi="Arial" w:cs="Arial"/>
          <w:b/>
          <w:bCs/>
          <w:sz w:val="36"/>
          <w:szCs w:val="36"/>
        </w:rPr>
      </w:pPr>
      <w:r>
        <w:rPr>
          <w:rFonts w:ascii="Arial" w:hAnsi="Arial" w:cs="Arial"/>
          <w:b/>
          <w:bCs/>
          <w:sz w:val="36"/>
          <w:szCs w:val="36"/>
        </w:rPr>
        <w:t xml:space="preserve">INTEGRATION MATRIX - ISO 9001:2026, ISO 22000:2018 AND FSSC 22000 V7</w:t>
      </w:r>
    </w:p>
    <w:p>
      <w:pPr>
        <w:spacing w:before="120" w:after="240"/>
        <w:jc w:val="both"/>
        <w:rPr>
          <w:rFonts w:ascii="Arial" w:hAnsi="Arial" w:cs="Arial"/>
          <w:sz w:val="22"/>
          <w:szCs w:val="22"/>
        </w:rPr>
      </w:pPr>
      <w:r>
        <w:rPr>
          <w:rFonts w:ascii="Arial" w:hAnsi="Arial" w:cs="Arial"/>
          <w:sz w:val="22"/>
          <w:szCs w:val="22"/>
        </w:rPr>
        <w:t xml:space="preserve">Many food contact packaging sites hold both an FSSC 22000 Version 7 category I food safety certification and an ISO 9001 quality certification. The two standards share the same high level structure, so a large part of the management system can be operated once and audited twice. This matrix identifies, clause by clause, where a single shared document satisfies both standards, where a shared document needs a quality extension, and where a genuinely separate document is required. Column 5 is the decision the site must take and record.</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2422"/>
        <w:gridCol w:w="5148"/>
        <w:gridCol w:w="4542"/>
        <w:gridCol w:w="3028"/>
      </w:tblGrid>
      <w:tr>
        <w:trPr>
          <w:tblHeader/>
          <w:cantSplit/>
        </w:trPr>
        <w:tc>
          <w:tcPr>
            <w:tcW w:w="2422"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Matrix issue</w:t>
            </w:r>
          </w:p>
        </w:tc>
        <w:tc>
          <w:tcPr>
            <w:tcW w:w="514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Maintained by</w:t>
            </w:r>
          </w:p>
        </w:tc>
        <w:tc>
          <w:tcPr>
            <w:tcW w:w="4542"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Review frequency</w:t>
            </w:r>
          </w:p>
        </w:tc>
        <w:tc>
          <w:tcPr>
            <w:tcW w:w="302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Approved by</w:t>
            </w:r>
          </w:p>
        </w:tc>
      </w:tr>
      <w:tr>
        <w:tc>
          <w:tcPr>
            <w:tcW w:w="2422" w:type="dxa"/>
            <w:vAlign w:val="center"/>
          </w:tcPr>
          <w:p>
            <w:pPr>
              <w:spacing w:before="30" w:after="30"/>
              <w:jc w:val="left"/>
              <w:rPr>
                <w:rFonts w:ascii="Arial" w:hAnsi="Arial" w:cs="Arial"/>
                <w:sz w:val="20"/>
                <w:szCs w:val="20"/>
              </w:rPr>
            </w:pPr>
            <w:r>
              <w:rPr>
                <w:rFonts w:ascii="Arial" w:hAnsi="Arial" w:cs="Arial"/>
                <w:sz w:val="20"/>
                <w:szCs w:val="20"/>
              </w:rPr>
              <w:t xml:space="preserve">01 Sep 2026</w:t>
            </w:r>
          </w:p>
        </w:tc>
        <w:tc>
          <w:tcPr>
            <w:tcW w:w="5148" w:type="dxa"/>
            <w:vAlign w:val="center"/>
          </w:tcPr>
          <w:p>
            <w:pPr>
              <w:spacing w:before="30" w:after="30"/>
              <w:jc w:val="left"/>
              <w:rPr>
                <w:rFonts w:ascii="Arial" w:hAnsi="Arial" w:cs="Arial"/>
                <w:sz w:val="20"/>
                <w:szCs w:val="20"/>
              </w:rPr>
            </w:pPr>
            <w:r>
              <w:rPr>
                <w:rFonts w:ascii="Arial" w:hAnsi="Arial" w:cs="Arial"/>
                <w:sz w:val="20"/>
                <w:szCs w:val="20"/>
              </w:rPr>
              <w:t xml:space="preserve">Quality Manager (QMR) with the Food Safety Team Leader</w:t>
            </w:r>
          </w:p>
        </w:tc>
        <w:tc>
          <w:tcPr>
            <w:tcW w:w="4542" w:type="dxa"/>
            <w:vAlign w:val="center"/>
          </w:tcPr>
          <w:p>
            <w:pPr>
              <w:spacing w:before="30" w:after="30"/>
              <w:jc w:val="left"/>
              <w:rPr>
                <w:rFonts w:ascii="Arial" w:hAnsi="Arial" w:cs="Arial"/>
                <w:sz w:val="20"/>
                <w:szCs w:val="20"/>
              </w:rPr>
            </w:pPr>
            <w:r>
              <w:rPr>
                <w:rFonts w:ascii="Arial" w:hAnsi="Arial" w:cs="Arial"/>
                <w:sz w:val="20"/>
                <w:szCs w:val="20"/>
              </w:rPr>
              <w:t xml:space="preserve">Annually and on any change to either standard</w:t>
            </w:r>
          </w:p>
        </w:tc>
        <w:tc>
          <w:tcPr>
            <w:tcW w:w="3028" w:type="dxa"/>
            <w:vAlign w:val="center"/>
          </w:tcPr>
          <w:p>
            <w:pPr>
              <w:spacing w:before="30" w:after="30"/>
              <w:jc w:val="left"/>
              <w:rPr>
                <w:rFonts w:ascii="Arial" w:hAnsi="Arial" w:cs="Arial"/>
                <w:sz w:val="20"/>
                <w:szCs w:val="20"/>
              </w:rPr>
            </w:pPr>
            <w:r>
              <w:rPr>
                <w:rFonts w:ascii="Arial" w:hAnsi="Arial" w:cs="Arial"/>
                <w:sz w:val="20"/>
                <w:szCs w:val="20"/>
              </w:rPr>
              <w:t xml:space="preserve">General Manager</w:t>
            </w:r>
          </w:p>
        </w:tc>
      </w:tr>
    </w:tbl>
    <w:p>
      <w:pPr>
        <w:spacing w:before="0" w:after="120"/>
      </w:pPr>
    </w:p>
    <w:p>
      <w:pPr>
        <w:spacing w:before="120" w:after="60"/>
        <w:jc w:val="both"/>
        <w:rPr>
          <w:rFonts w:ascii="Arial" w:hAnsi="Arial" w:cs="Arial"/>
          <w:b/>
          <w:bCs/>
          <w:sz w:val="22"/>
          <w:szCs w:val="22"/>
        </w:rPr>
      </w:pPr>
      <w:r>
        <w:rPr>
          <w:rFonts w:ascii="Arial" w:hAnsi="Arial" w:cs="Arial"/>
          <w:b/>
          <w:bCs/>
          <w:sz w:val="22"/>
          <w:szCs w:val="22"/>
        </w:rPr>
        <w:t xml:space="preserve">How to use this form</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Work the matrix with the Food Safety Team Leader present. An integration decision taken by the quality function alone is reversed the first time the food safety auditor sees it.</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Take the decision in column 5 row by row and record it. An undecided row becomes two documents by default, which is the outcome this matrix exists to prevent.</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Where the decision is SHARE, retitle the surviving document to refer to both standards, list it once on CF 7.5.1 with both clause references, and withdraw the duplicate on CF 7.5.2.</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Where the decision is EXTEND, add the quality content as a named section of the existing document rather than as an appendix, so that it is read in the ordinary course of use.</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Never merge a record whose retention periods differ between the two systems without checking CF 7.5.5; the longer period governs the merged record.</w:t>
      </w:r>
    </w:p>
    <w:p>
      <w:pPr>
        <w:numPr>
          <w:ilvl w:val="0"/>
          <w:numId w:val="3"/>
        </w:numPr>
        <w:spacing w:before="120" w:after="240"/>
        <w:ind w:left="1134" w:hanging="425"/>
        <w:jc w:val="both"/>
        <w:rPr>
          <w:rFonts w:ascii="Arial" w:hAnsi="Arial" w:cs="Arial"/>
          <w:sz w:val="22"/>
          <w:szCs w:val="22"/>
        </w:rPr>
      </w:pPr>
      <w:r>
        <w:rPr>
          <w:rFonts w:ascii="Arial" w:hAnsi="Arial" w:cs="Arial"/>
          <w:sz w:val="22"/>
          <w:szCs w:val="22"/>
        </w:rPr>
        <w:t xml:space="preserve">Re-run the matrix on any change to either standard and at least annually.</w:t>
      </w:r>
    </w:p>
    <w:p>
      <w:pPr>
        <w:pStyle w:val="Heading"/>
      </w:pPr>
      <w:r>
        <w:rPr>
          <w:rFonts w:ascii="Arial" w:hAnsi="Arial" w:cs="Arial"/>
          <w:b/>
          <w:bCs/>
          <w:sz w:val="24"/>
          <w:szCs w:val="24"/>
        </w:rPr>
        <w:t xml:space="preserve">1.	HOW TO READ THIS MATRIX</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1817"/>
        <w:gridCol w:w="6056"/>
        <w:gridCol w:w="7267"/>
      </w:tblGrid>
      <w:tr>
        <w:trPr>
          <w:tblHeader/>
          <w:cantSplit/>
        </w:trPr>
        <w:tc>
          <w:tcPr>
            <w:tcW w:w="1817"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Decision code</w:t>
            </w:r>
          </w:p>
        </w:tc>
        <w:tc>
          <w:tcPr>
            <w:tcW w:w="6056"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Meaning</w:t>
            </w:r>
          </w:p>
        </w:tc>
        <w:tc>
          <w:tcPr>
            <w:tcW w:w="7267"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What the site does</w:t>
            </w:r>
          </w:p>
        </w:tc>
      </w:tr>
      <w:tr>
        <w:tc>
          <w:tcPr>
            <w:tcW w:w="1817" w:type="dxa"/>
            <w:vAlign w:val="center"/>
          </w:tcPr>
          <w:p>
            <w:pPr>
              <w:spacing w:before="30" w:after="30"/>
              <w:jc w:val="left"/>
              <w:rPr>
                <w:rFonts w:ascii="Arial" w:hAnsi="Arial" w:cs="Arial"/>
                <w:sz w:val="18"/>
                <w:szCs w:val="18"/>
              </w:rPr>
            </w:pPr>
            <w:r>
              <w:rPr>
                <w:rFonts w:ascii="Arial" w:hAnsi="Arial" w:cs="Arial"/>
                <w:sz w:val="18"/>
                <w:szCs w:val="18"/>
              </w:rPr>
              <w:t xml:space="preserve">SHARE</w:t>
            </w:r>
          </w:p>
        </w:tc>
        <w:tc>
          <w:tcPr>
            <w:tcW w:w="6056" w:type="dxa"/>
            <w:vAlign w:val="center"/>
          </w:tcPr>
          <w:p>
            <w:pPr>
              <w:spacing w:before="30" w:after="30"/>
              <w:jc w:val="left"/>
              <w:rPr>
                <w:rFonts w:ascii="Arial" w:hAnsi="Arial" w:cs="Arial"/>
                <w:sz w:val="18"/>
                <w:szCs w:val="18"/>
              </w:rPr>
            </w:pPr>
            <w:r>
              <w:rPr>
                <w:rFonts w:ascii="Arial" w:hAnsi="Arial" w:cs="Arial"/>
                <w:sz w:val="18"/>
                <w:szCs w:val="18"/>
              </w:rPr>
              <w:t xml:space="preserve">The requirement is materially identical in both standards. One document, one record, one audit trail.</w:t>
            </w:r>
          </w:p>
        </w:tc>
        <w:tc>
          <w:tcPr>
            <w:tcW w:w="7267" w:type="dxa"/>
            <w:vAlign w:val="center"/>
          </w:tcPr>
          <w:p>
            <w:pPr>
              <w:spacing w:before="30" w:after="30"/>
              <w:jc w:val="left"/>
              <w:rPr>
                <w:rFonts w:ascii="Arial" w:hAnsi="Arial" w:cs="Arial"/>
                <w:sz w:val="18"/>
                <w:szCs w:val="18"/>
              </w:rPr>
            </w:pPr>
            <w:r>
              <w:rPr>
                <w:rFonts w:ascii="Arial" w:hAnsi="Arial" w:cs="Arial"/>
                <w:sz w:val="18"/>
                <w:szCs w:val="18"/>
              </w:rPr>
              <w:t xml:space="preserve">Adopt whichever document is already in use, retitle it to refer to both standards, and list it once on the master document register with both clause references.</w:t>
            </w:r>
          </w:p>
        </w:tc>
      </w:tr>
      <w:tr>
        <w:tc>
          <w:tcPr>
            <w:tcW w:w="1817" w:type="dxa"/>
            <w:vAlign w:val="center"/>
          </w:tcPr>
          <w:p>
            <w:pPr>
              <w:spacing w:before="30" w:after="30"/>
              <w:jc w:val="left"/>
              <w:rPr>
                <w:rFonts w:ascii="Arial" w:hAnsi="Arial" w:cs="Arial"/>
                <w:sz w:val="18"/>
                <w:szCs w:val="18"/>
              </w:rPr>
            </w:pPr>
            <w:r>
              <w:rPr>
                <w:rFonts w:ascii="Arial" w:hAnsi="Arial" w:cs="Arial"/>
                <w:sz w:val="18"/>
                <w:szCs w:val="18"/>
              </w:rPr>
              <w:t xml:space="preserve">EXTEND</w:t>
            </w:r>
          </w:p>
        </w:tc>
        <w:tc>
          <w:tcPr>
            <w:tcW w:w="6056" w:type="dxa"/>
            <w:vAlign w:val="center"/>
          </w:tcPr>
          <w:p>
            <w:pPr>
              <w:spacing w:before="30" w:after="30"/>
              <w:jc w:val="left"/>
              <w:rPr>
                <w:rFonts w:ascii="Arial" w:hAnsi="Arial" w:cs="Arial"/>
                <w:sz w:val="18"/>
                <w:szCs w:val="18"/>
              </w:rPr>
            </w:pPr>
            <w:r>
              <w:rPr>
                <w:rFonts w:ascii="Arial" w:hAnsi="Arial" w:cs="Arial"/>
                <w:sz w:val="18"/>
                <w:szCs w:val="18"/>
              </w:rPr>
              <w:t xml:space="preserve">The requirement exists in both but the quality standard asks for something the food safety standard does not, or the reverse.</w:t>
            </w:r>
          </w:p>
        </w:tc>
        <w:tc>
          <w:tcPr>
            <w:tcW w:w="7267" w:type="dxa"/>
            <w:vAlign w:val="center"/>
          </w:tcPr>
          <w:p>
            <w:pPr>
              <w:spacing w:before="30" w:after="30"/>
              <w:jc w:val="left"/>
              <w:rPr>
                <w:rFonts w:ascii="Arial" w:hAnsi="Arial" w:cs="Arial"/>
                <w:sz w:val="18"/>
                <w:szCs w:val="18"/>
              </w:rPr>
            </w:pPr>
            <w:r>
              <w:rPr>
                <w:rFonts w:ascii="Arial" w:hAnsi="Arial" w:cs="Arial"/>
                <w:sz w:val="18"/>
                <w:szCs w:val="18"/>
              </w:rPr>
              <w:t xml:space="preserve">Keep one document and add the missing section. The extension is marked in the document so an auditor of either standard can find it.</w:t>
            </w:r>
          </w:p>
        </w:tc>
      </w:tr>
      <w:tr>
        <w:tc>
          <w:tcPr>
            <w:tcW w:w="1817" w:type="dxa"/>
            <w:vAlign w:val="center"/>
          </w:tcPr>
          <w:p>
            <w:pPr>
              <w:spacing w:before="30" w:after="30"/>
              <w:jc w:val="left"/>
              <w:rPr>
                <w:rFonts w:ascii="Arial" w:hAnsi="Arial" w:cs="Arial"/>
                <w:sz w:val="18"/>
                <w:szCs w:val="18"/>
              </w:rPr>
            </w:pPr>
            <w:r>
              <w:rPr>
                <w:rFonts w:ascii="Arial" w:hAnsi="Arial" w:cs="Arial"/>
                <w:sz w:val="18"/>
                <w:szCs w:val="18"/>
              </w:rPr>
              <w:t xml:space="preserve">SEPARATE</w:t>
            </w:r>
          </w:p>
        </w:tc>
        <w:tc>
          <w:tcPr>
            <w:tcW w:w="6056" w:type="dxa"/>
            <w:vAlign w:val="center"/>
          </w:tcPr>
          <w:p>
            <w:pPr>
              <w:spacing w:before="30" w:after="30"/>
              <w:jc w:val="left"/>
              <w:rPr>
                <w:rFonts w:ascii="Arial" w:hAnsi="Arial" w:cs="Arial"/>
                <w:sz w:val="18"/>
                <w:szCs w:val="18"/>
              </w:rPr>
            </w:pPr>
            <w:r>
              <w:rPr>
                <w:rFonts w:ascii="Arial" w:hAnsi="Arial" w:cs="Arial"/>
                <w:sz w:val="18"/>
                <w:szCs w:val="18"/>
              </w:rPr>
              <w:t xml:space="preserve">The requirement exists in only one standard, or the two treatments are different enough that combining them would weaken both.</w:t>
            </w:r>
          </w:p>
        </w:tc>
        <w:tc>
          <w:tcPr>
            <w:tcW w:w="7267" w:type="dxa"/>
            <w:vAlign w:val="center"/>
          </w:tcPr>
          <w:p>
            <w:pPr>
              <w:spacing w:before="30" w:after="30"/>
              <w:jc w:val="left"/>
              <w:rPr>
                <w:rFonts w:ascii="Arial" w:hAnsi="Arial" w:cs="Arial"/>
                <w:sz w:val="18"/>
                <w:szCs w:val="18"/>
              </w:rPr>
            </w:pPr>
            <w:r>
              <w:rPr>
                <w:rFonts w:ascii="Arial" w:hAnsi="Arial" w:cs="Arial"/>
                <w:sz w:val="18"/>
                <w:szCs w:val="18"/>
              </w:rPr>
              <w:t xml:space="preserve">Maintain two documents. Cross-refer them so neither is maintained in ignorance of the other.</w:t>
            </w:r>
          </w:p>
        </w:tc>
      </w:tr>
    </w:tbl>
    <w:p>
      <w:pPr>
        <w:spacing w:before="0" w:after="120"/>
      </w:pPr>
    </w:p>
    <w:p>
      <w:pPr>
        <w:pStyle w:val="Heading"/>
      </w:pPr>
      <w:r>
        <w:rPr>
          <w:rFonts w:ascii="Arial" w:hAnsi="Arial" w:cs="Arial"/>
          <w:b/>
          <w:bCs/>
          <w:sz w:val="24"/>
          <w:szCs w:val="24"/>
        </w:rPr>
        <w:t xml:space="preserve">2.	CLAUSE 4 - CONTEXT</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1363"/>
        <w:gridCol w:w="2120"/>
        <w:gridCol w:w="3028"/>
        <w:gridCol w:w="3028"/>
        <w:gridCol w:w="1211"/>
        <w:gridCol w:w="4390"/>
      </w:tblGrid>
      <w:tr>
        <w:trPr>
          <w:tblHeader/>
          <w:cantSplit/>
        </w:trPr>
        <w:tc>
          <w:tcPr>
            <w:tcW w:w="1363"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ISO 9001:2026</w:t>
            </w:r>
          </w:p>
        </w:tc>
        <w:tc>
          <w:tcPr>
            <w:tcW w:w="2120"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ISO 22000:2018 / FSSC V7</w:t>
            </w:r>
          </w:p>
        </w:tc>
        <w:tc>
          <w:tcPr>
            <w:tcW w:w="3028"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TK03 quality document</w:t>
            </w:r>
          </w:p>
        </w:tc>
        <w:tc>
          <w:tcPr>
            <w:tcW w:w="3028"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TK02 food safety document</w:t>
            </w:r>
          </w:p>
        </w:tc>
        <w:tc>
          <w:tcPr>
            <w:tcW w:w="1211"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Decision</w:t>
            </w:r>
          </w:p>
        </w:tc>
        <w:tc>
          <w:tcPr>
            <w:tcW w:w="4390"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Note</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4.1</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22000 4.1</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4.1; CF 4.1.1; CF 4.1.2</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4.1; CF 4.1.1; CF 4.1.2</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EXTEND</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One SWOT and one PESTLE for the site. Add a quality column to each issue so the same issue is scored for its food safety and its quality effect. The 2026 climate change determination (CF 4.1.3) is a quality-side addition with no ISO 22000 equivalent; it is placed in the shared context pack.</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4.2</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22000 4.2</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4.2; CF 4.2.1</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4.2; CF 4.2.1</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EXTEND</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One interested parties register. The 2026 clause 4.2 c) determination of which requirements the management system will address is added as a column and answered for both systems.</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4.3</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22000 4.3</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4.3; CF 4.3.1; CF 4.3.2</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4.3; CF 4.3.1; CF 4.3.2</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SEPARATE</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Two scope statements are needed because the certification scopes differ in wording and are published separately. Keep them on one page so they cannot drift apart.</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4.4</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22000 4.4</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4.4; CF 4.4.1</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4.3; CF 4.3.3</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SHARE</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One process map for the site. Each process carries both a food safety and a quality indicator.</w:t>
            </w:r>
          </w:p>
        </w:tc>
      </w:tr>
    </w:tbl>
    <w:p>
      <w:pPr>
        <w:spacing w:before="0" w:after="120"/>
      </w:pPr>
    </w:p>
    <w:p>
      <w:pPr>
        <w:pStyle w:val="Heading"/>
      </w:pPr>
      <w:r>
        <w:rPr>
          <w:rFonts w:ascii="Arial" w:hAnsi="Arial" w:cs="Arial"/>
          <w:b/>
          <w:bCs/>
          <w:sz w:val="24"/>
          <w:szCs w:val="24"/>
        </w:rPr>
        <w:t xml:space="preserve">3.	CLAUSE 5 - LEADERSHIP</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1363"/>
        <w:gridCol w:w="2120"/>
        <w:gridCol w:w="3028"/>
        <w:gridCol w:w="3028"/>
        <w:gridCol w:w="1211"/>
        <w:gridCol w:w="4390"/>
      </w:tblGrid>
      <w:tr>
        <w:trPr>
          <w:tblHeader/>
          <w:cantSplit/>
        </w:trPr>
        <w:tc>
          <w:tcPr>
            <w:tcW w:w="1363"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ISO 9001:2026</w:t>
            </w:r>
          </w:p>
        </w:tc>
        <w:tc>
          <w:tcPr>
            <w:tcW w:w="2120"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ISO 22000:2018 / FSSC V7</w:t>
            </w:r>
          </w:p>
        </w:tc>
        <w:tc>
          <w:tcPr>
            <w:tcW w:w="3028"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TK03 quality document</w:t>
            </w:r>
          </w:p>
        </w:tc>
        <w:tc>
          <w:tcPr>
            <w:tcW w:w="3028"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TK02 food safety document</w:t>
            </w:r>
          </w:p>
        </w:tc>
        <w:tc>
          <w:tcPr>
            <w:tcW w:w="1211"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Decision</w:t>
            </w:r>
          </w:p>
        </w:tc>
        <w:tc>
          <w:tcPr>
            <w:tcW w:w="4390"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Note</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5.1</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22000 5.1; FSSC V7 2.5.8</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5.1; CF 5.1.1</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5.1</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EXTEND</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One leadership commitment record. ISO 9001:2026 requires the leadership commitments listed at its clause 5.1.1 (worked through in PRO 5.1 section 6.1), including quality culture and ethical behaviour; FSSC V7 clause 2.5.8 requires a food safety and quality culture objective. These are the same programme and should be run once.</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5.2</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22000 5.2</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POL 01 Quality Policy</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POL 01 Food Safety Policy</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SEPARATE</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A combined policy is permitted and is common. If combined, it must still satisfy every element of both clauses and be signed by top management. Most certification bodies accept one combined policy document; check before combining.</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5.1.1 culture [2026]</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FSSC V7 2.5.8</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POL 02; PRO 3.1; CF 3.1.1; CF 3.1.2</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2.5.8 and its CF set</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SHARE</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This is the single biggest integration saving. FSSC V7 already requires a documented food safety and quality culture plan with objectives, activities, timelines and performance measures; ISO 9001:2026 requires leadership commitment to quality culture and ethical behaviour. Run one culture programme and one survey covering both.</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5.3</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22000 5.3</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5.3; CF 5.3.1; CF 5.3.4</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5.3; CF 5.3.1; CF 5.3.4</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SHARE</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One responsibilities matrix and one organogram. The Food Safety Team Leader and the Quality Management Representative roles are listed on the same matrix, whether or not the same person holds both.</w:t>
            </w:r>
          </w:p>
        </w:tc>
      </w:tr>
    </w:tbl>
    <w:p>
      <w:pPr>
        <w:spacing w:before="0" w:after="120"/>
      </w:pPr>
    </w:p>
    <w:p>
      <w:pPr>
        <w:pStyle w:val="Heading"/>
      </w:pPr>
      <w:r>
        <w:rPr>
          <w:rFonts w:ascii="Arial" w:hAnsi="Arial" w:cs="Arial"/>
          <w:b/>
          <w:bCs/>
          <w:sz w:val="24"/>
          <w:szCs w:val="24"/>
        </w:rPr>
        <w:t xml:space="preserve">4.	CLAUSE 6 - PLANNING</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1363"/>
        <w:gridCol w:w="2120"/>
        <w:gridCol w:w="3028"/>
        <w:gridCol w:w="3028"/>
        <w:gridCol w:w="1211"/>
        <w:gridCol w:w="4390"/>
      </w:tblGrid>
      <w:tr>
        <w:trPr>
          <w:tblHeader/>
          <w:cantSplit/>
        </w:trPr>
        <w:tc>
          <w:tcPr>
            <w:tcW w:w="1363"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ISO 9001:2026</w:t>
            </w:r>
          </w:p>
        </w:tc>
        <w:tc>
          <w:tcPr>
            <w:tcW w:w="2120"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ISO 22000:2018 / FSSC V7</w:t>
            </w:r>
          </w:p>
        </w:tc>
        <w:tc>
          <w:tcPr>
            <w:tcW w:w="3028"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TK03 quality document</w:t>
            </w:r>
          </w:p>
        </w:tc>
        <w:tc>
          <w:tcPr>
            <w:tcW w:w="3028"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TK02 food safety document</w:t>
            </w:r>
          </w:p>
        </w:tc>
        <w:tc>
          <w:tcPr>
            <w:tcW w:w="1211"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Decision</w:t>
            </w:r>
          </w:p>
        </w:tc>
        <w:tc>
          <w:tcPr>
            <w:tcW w:w="4390"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Note</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6.1</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22000 6.1</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6.1; CF 6.1.1; CF 6.1.2; RA 6.1</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6.1; CF 6.1.1; RA 6.1</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EXTEND</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One risk process and one register, with a column identifying whether each entry is a food safety risk, a quality risk or both. The 2026 split of opportunities into clause 6.1.3 with its own selection criteria has no ISO 22000 equivalent, so CF 6.1.2 Opportunity Register is a quality-side addition.</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6.2</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22000 6.2; FSSC V7 2.5.9</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6.2; CF 6.2.1</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6.2; CF 6.2.1</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SHARE</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One objective set. FSSC V7 clause 2.5.9 already requires quality objectives and quality control parameters alongside food safety objectives, so the objective tracking sheet is naturally shared.</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6.3</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22000 6.3</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6.3; CF 6.3.1; RA 6.3</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6.3; CF 6.3.1</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EXTEND</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One change management form. Add the three considerations ISO 9001:2026 requires that ISO 22000 does not spell out: communication of the change, review of effectiveness, and the consequences of unintended change.</w:t>
            </w:r>
          </w:p>
        </w:tc>
      </w:tr>
    </w:tbl>
    <w:p>
      <w:pPr>
        <w:spacing w:before="0" w:after="120"/>
      </w:pPr>
    </w:p>
    <w:p>
      <w:pPr>
        <w:pStyle w:val="Heading"/>
      </w:pPr>
      <w:r>
        <w:rPr>
          <w:rFonts w:ascii="Arial" w:hAnsi="Arial" w:cs="Arial"/>
          <w:b/>
          <w:bCs/>
          <w:sz w:val="24"/>
          <w:szCs w:val="24"/>
        </w:rPr>
        <w:t xml:space="preserve">5.	CLAUSE 7 - SUPPORT</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1363"/>
        <w:gridCol w:w="2120"/>
        <w:gridCol w:w="3028"/>
        <w:gridCol w:w="3028"/>
        <w:gridCol w:w="1211"/>
        <w:gridCol w:w="4390"/>
      </w:tblGrid>
      <w:tr>
        <w:trPr>
          <w:tblHeader/>
          <w:cantSplit/>
        </w:trPr>
        <w:tc>
          <w:tcPr>
            <w:tcW w:w="1363"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ISO 9001:2026</w:t>
            </w:r>
          </w:p>
        </w:tc>
        <w:tc>
          <w:tcPr>
            <w:tcW w:w="2120"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ISO 22000:2018 / FSSC V7</w:t>
            </w:r>
          </w:p>
        </w:tc>
        <w:tc>
          <w:tcPr>
            <w:tcW w:w="3028"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TK03 quality document</w:t>
            </w:r>
          </w:p>
        </w:tc>
        <w:tc>
          <w:tcPr>
            <w:tcW w:w="3028"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TK02 food safety document</w:t>
            </w:r>
          </w:p>
        </w:tc>
        <w:tc>
          <w:tcPr>
            <w:tcW w:w="1211"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Decision</w:t>
            </w:r>
          </w:p>
        </w:tc>
        <w:tc>
          <w:tcPr>
            <w:tcW w:w="4390"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Note</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7.1.3</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22000 7.1.3; ISO 22002-100 clause 5; ISO 22002-4</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7.1; CF 7.1.1; PRO 19</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7.1; Part 2 PRO set</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EXTEND</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One infrastructure and maintenance register. The food safety side drives hygienic design and contamination control; the quality side drives the tasks that hold a quality characteristic. Both sets of tasks sit on one schedule (CF 19.1).</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7.1.5</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22000 8.7</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7.1.5; CF 7.1.5.1; CF 7.1.5.2; PRO 15</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8.7; CF 8.7.1; CF 8.7.2</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SHARE</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One calibration register covering both the food safety monitoring instruments and the quality measurement instruments. Note the clause numbers differ: control of monitoring and measuring is ISO 9001 clause 7.1.5 but ISO 22000 clause 8.7.</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7.1.6</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No direct equivalent</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3.3; CF 7.1.4; CF 3.3.1</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None</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SEPARATE</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Organizational knowledge is an ISO 9001 requirement with no ISO 22000 counterpart. The register should still capture food safety knowledge, because the same people hold both.</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7.2</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22000 7.2</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7.2; CF 7.2.1 to CF 7.2.6</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7.2; CF 7.2.1 to CF 7.2.6</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SHARE</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One competence system and, critically, one training and task authorisation matrix. Two matrices is the most common cause of a person being authorised for a task under one system and not the other.</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7.3</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22000 7.3</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7.3; CF 7.3.1</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7.3; CF 7.3.1</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EXTEND</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One awareness programme. ISO 9001:2026 adds a fifth awareness item on quality culture and ethical behaviour; brief it alongside the food safety culture message.</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7.4</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22000 7.4; FSSC V7 2.5.17</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7.4; CF 7.4.1</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7.4; CF 7.4.1</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SHARE</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One communication matrix. FSSC V7 clause 2.5.17 adds mandatory notification obligations to the certification body; these belong on the same matrix.</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7.5</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22000 7.5; FSSC V7 2.5.2</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7.5; CF 7.5.1 to CF 7.5.5</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7.5; CF 7.5.1 to CF 7.5.4</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SHARE</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One document control procedure, one master register and one retention schedule. Artwork and printed material are controlled documents under FSSC V7 clause 2.5.2 and under ISO 9001 clause 8.5.2; control them once, in PRO 11.</w:t>
            </w:r>
          </w:p>
        </w:tc>
      </w:tr>
    </w:tbl>
    <w:p>
      <w:pPr>
        <w:spacing w:before="0" w:after="120"/>
      </w:pPr>
    </w:p>
    <w:p>
      <w:pPr>
        <w:pStyle w:val="Heading"/>
      </w:pPr>
      <w:r>
        <w:rPr>
          <w:rFonts w:ascii="Arial" w:hAnsi="Arial" w:cs="Arial"/>
          <w:b/>
          <w:bCs/>
          <w:sz w:val="24"/>
          <w:szCs w:val="24"/>
        </w:rPr>
        <w:t xml:space="preserve">6.	CLAUSE 8 - OPERATION (WHERE THE TWO STANDARDS DIVERGE MOST)</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1363"/>
        <w:gridCol w:w="2120"/>
        <w:gridCol w:w="3028"/>
        <w:gridCol w:w="3028"/>
        <w:gridCol w:w="1211"/>
        <w:gridCol w:w="4390"/>
      </w:tblGrid>
      <w:tr>
        <w:trPr>
          <w:tblHeader/>
          <w:cantSplit/>
        </w:trPr>
        <w:tc>
          <w:tcPr>
            <w:tcW w:w="1363"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ISO 9001:2026</w:t>
            </w:r>
          </w:p>
        </w:tc>
        <w:tc>
          <w:tcPr>
            <w:tcW w:w="2120"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ISO 22000:2018 / FSSC V7</w:t>
            </w:r>
          </w:p>
        </w:tc>
        <w:tc>
          <w:tcPr>
            <w:tcW w:w="3028"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TK03 quality document</w:t>
            </w:r>
          </w:p>
        </w:tc>
        <w:tc>
          <w:tcPr>
            <w:tcW w:w="3028"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TK02 food safety document</w:t>
            </w:r>
          </w:p>
        </w:tc>
        <w:tc>
          <w:tcPr>
            <w:tcW w:w="1211"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Decision</w:t>
            </w:r>
          </w:p>
        </w:tc>
        <w:tc>
          <w:tcPr>
            <w:tcW w:w="4390"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Note</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8.1</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22000 8.1</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8.1; CF 8.1.1</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8.1</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EXTEND</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One operational plan per product group, carrying both the food safety controls and the quality acceptance criteria.</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8.2 Requirements</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FSSC V7 2.5.1 d specification review</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8.2; CF 8.2.1; PRO 16; CF 16.1</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2.5.1; CF 2.5.1 set</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EXTEND</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One customer requirements review. The food safety side reviews the specification for food contact compliance; the quality side reviews it for the ability to meet every stated and implied requirement. The 2026 contingency-for-disruption addition at 8.2.1 is a quality-side addition.</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8.3 Design</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FSSC V7 2.5.13 Product Design and Development</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8.3; CF 8.3.1 to CF 8.3.6; RA 8.3</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2.5.13; CF 2.5.13.1 to CF 2.5.13.4; RA 2.5.13</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SHARE</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FSSC V7 clause 2.5.13 is very close to ISO 9001 clause 8.3. Run one design and development process with one stage gate set; the food safety review and the quality review are two inputs to the same gate, not two processes.</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8.4 External providers</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22000 7.1.6; FSSC V7 2.5.1</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8.4; CF 8.4.1 to CF 8.4.5; RA 8.4</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2.5.1; CF 2.5.1 set; PRO 7.1</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SHARE</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One approved supplier list and one evaluation process. The Declaration of Compliance and certificate of analysis requirements are food safety driven but sit naturally in the same supplier file as the quality performance scorecard.</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8.5.1 Production control</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22000 8.5 hazard control; ISO 22002-4</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8.5; WI 8.5.1; WI 8.5.2; CF 8.5.1 to CF 8.5.3; PRO 11; PRO 12</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8.5; WI 8.5.1; CF 8.5.2; Part 2 PRO set</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EXTEND</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This is where care is needed. A CCP or OPRP monitoring record is a food safety record; a quality check record is a quality record. Combining them on one form is efficient at the line but the form must make clear which entries are food safety critical, because the disposition authority and the retention period differ. The toolkit combines them on the in-process log and marks the food safety entries.</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8.5.1 f) validation</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22000 8.5.3 validation of control measures</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8.5; CF 12.2</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8.5; CF 8.5.4</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SHARE</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The adhesive cure validation is simultaneously a food safety validation (primary aromatic amines) and a quality validation (bond strength). One validation study, one report, two conclusions.</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8.5.2 Traceability</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22000 8.3; FSSC V7</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8.5.1; CF 8.5.4</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8.3; CF 8.3.1; CF 8.3.2</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SHARE</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One traceability system and one traceability test. Test to the food safety requirement, which is the more demanding, and the quality requirement is met automatically.</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8.5.3 Customer property</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No direct equivalent</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8.5.3; CF 8.5.5</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None</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SEPARATE</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Customer-owned cylinders, dies and artwork files are an ISO 9001 requirement with no ISO 22000 counterpart, although FSSC V7 clause 2.5.2 controls artwork for a different reason.</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8.5.4 Preservation</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22002-100 storage clauses; FSSC V7 2.5.10</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8.5; PRO 18; CF 18.1</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2.5.10; CF 2.5.10 set</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SHARE</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One storage and handling regime.</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8.6 Release</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22000 8.9.4 release of affected product</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8.6; CF 8.6.1; CF 8.6.2</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8.9; CF 8.9.3</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EXTEND</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One release decision per batch, made against both the food safety record set and the quality record set. A single release signature is acceptable only where the signatory is authorised for both; otherwise two signatures on one form.</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8.7 Nonconforming output</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22000 8.9</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8.7; CF 8.7.1 to CF 8.7.4</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8.9; CF 8.9.1 to CF 8.9.6</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EXTEND</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One nonconformity form with a food safety flag. Where the flag is set, the food safety disposition rules, withdrawal and recall procedures and notification obligations take precedence over the quality concession route. A quality concession can never release a food safety nonconformity.</w:t>
            </w:r>
          </w:p>
        </w:tc>
      </w:tr>
    </w:tbl>
    <w:p>
      <w:pPr>
        <w:spacing w:before="0" w:after="120"/>
      </w:pPr>
    </w:p>
    <w:p>
      <w:pPr>
        <w:pStyle w:val="Heading"/>
      </w:pPr>
      <w:r>
        <w:rPr>
          <w:rFonts w:ascii="Arial" w:hAnsi="Arial" w:cs="Arial"/>
          <w:b/>
          <w:bCs/>
          <w:sz w:val="24"/>
          <w:szCs w:val="24"/>
        </w:rPr>
        <w:t xml:space="preserve">7.	CLAUSES 9 AND 10 - EVALUATION AND IMPROVEMENT</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1363"/>
        <w:gridCol w:w="2120"/>
        <w:gridCol w:w="3028"/>
        <w:gridCol w:w="3028"/>
        <w:gridCol w:w="1211"/>
        <w:gridCol w:w="4390"/>
      </w:tblGrid>
      <w:tr>
        <w:trPr>
          <w:tblHeader/>
          <w:cantSplit/>
        </w:trPr>
        <w:tc>
          <w:tcPr>
            <w:tcW w:w="1363"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ISO 9001:2026</w:t>
            </w:r>
          </w:p>
        </w:tc>
        <w:tc>
          <w:tcPr>
            <w:tcW w:w="2120"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ISO 22000:2018 / FSSC V7</w:t>
            </w:r>
          </w:p>
        </w:tc>
        <w:tc>
          <w:tcPr>
            <w:tcW w:w="3028"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TK03 quality document</w:t>
            </w:r>
          </w:p>
        </w:tc>
        <w:tc>
          <w:tcPr>
            <w:tcW w:w="3028"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TK02 food safety document</w:t>
            </w:r>
          </w:p>
        </w:tc>
        <w:tc>
          <w:tcPr>
            <w:tcW w:w="1211"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Decision</w:t>
            </w:r>
          </w:p>
        </w:tc>
        <w:tc>
          <w:tcPr>
            <w:tcW w:w="4390" w:type="dxa"/>
            <w:shd w:val="clear" w:color="auto" w:fill="D5DCE4"/>
            <w:vAlign w:val="center"/>
          </w:tcPr>
          <w:p>
            <w:pPr>
              <w:spacing w:before="30" w:after="30"/>
              <w:jc w:val="left"/>
              <w:rPr>
                <w:rFonts w:ascii="Arial" w:hAnsi="Arial" w:cs="Arial"/>
                <w:b/>
                <w:bCs/>
                <w:sz w:val="16"/>
                <w:szCs w:val="16"/>
              </w:rPr>
            </w:pPr>
            <w:r>
              <w:rPr>
                <w:rFonts w:ascii="Arial" w:hAnsi="Arial" w:cs="Arial"/>
                <w:b/>
                <w:bCs/>
                <w:sz w:val="16"/>
                <w:szCs w:val="16"/>
              </w:rPr>
              <w:t xml:space="preserve">Note</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9.1</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22000 9.1</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9.1; CF 9.1.1</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9.1; CF 9.1.1</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SHARE</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One KPI dashboard carrying both food safety and quality measures. One analysis and evaluation report.</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9.1.2</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FSSC V7 customer complaint requirements</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9.1.2; CF 9.1.3 to CF 9.1.5</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8.9; CF 8.9.5; CF 8.9.6</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SHARE</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One complaint register with a food safety flag. Complaint trending serves both systems.</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9.2</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22000 9.2</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9.2; CF 9.2.1 to CF 9.2.4; CL 9.2.1</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9.2; CF 9.2.1 to CF 9.2.3</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SHARE</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One audit programme and one auditor pool, audited as a combined audit in the sense of ISO 19011:2026 clause 3.2. Two checklists remain necessary because the criteria differ, but they are worked in one visit to one area.</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9.3</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22000 9.3</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9.3; CF 9.3.1; CF 9.3.2</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9.3; CF 9.3.1; CF 9.3.2</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SHARE</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One management review meeting covering both agendas. The minutes must show that every input of both standards was considered; a combined agenda template is provided on CF 9.3.1.</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10.1</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22000 10.2 / 10.3</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10.1; CF 10.1.1</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10.2; PRO 10.3; CF 10.2.1</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SHARE</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One improvement register. Note the clause numbers differ: continual improvement is ISO 9001 clause 10.1 in the 2026 edition but ISO 22000 clause 10.2.</w:t>
            </w:r>
          </w:p>
        </w:tc>
      </w:tr>
      <w:tr>
        <w:tc>
          <w:tcPr>
            <w:tcW w:w="1363" w:type="dxa"/>
            <w:vAlign w:val="center"/>
          </w:tcPr>
          <w:p>
            <w:pPr>
              <w:spacing w:before="30" w:after="30"/>
              <w:jc w:val="left"/>
              <w:rPr>
                <w:rFonts w:ascii="Arial" w:hAnsi="Arial" w:cs="Arial"/>
                <w:sz w:val="16"/>
                <w:szCs w:val="16"/>
              </w:rPr>
            </w:pPr>
            <w:r>
              <w:rPr>
                <w:rFonts w:ascii="Arial" w:hAnsi="Arial" w:cs="Arial"/>
                <w:sz w:val="16"/>
                <w:szCs w:val="16"/>
              </w:rPr>
              <w:t xml:space="preserve">10.2</w:t>
            </w:r>
          </w:p>
        </w:tc>
        <w:tc>
          <w:tcPr>
            <w:tcW w:w="2120" w:type="dxa"/>
            <w:vAlign w:val="center"/>
          </w:tcPr>
          <w:p>
            <w:pPr>
              <w:spacing w:before="30" w:after="30"/>
              <w:jc w:val="left"/>
              <w:rPr>
                <w:rFonts w:ascii="Arial" w:hAnsi="Arial" w:cs="Arial"/>
                <w:sz w:val="16"/>
                <w:szCs w:val="16"/>
              </w:rPr>
            </w:pPr>
            <w:r>
              <w:rPr>
                <w:rFonts w:ascii="Arial" w:hAnsi="Arial" w:cs="Arial"/>
                <w:sz w:val="16"/>
                <w:szCs w:val="16"/>
              </w:rPr>
              <w:t xml:space="preserve">ISO 22000 10.1</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10.2; CF 10.2.1 to CF 10.2.3</w:t>
            </w:r>
          </w:p>
        </w:tc>
        <w:tc>
          <w:tcPr>
            <w:tcW w:w="3028" w:type="dxa"/>
            <w:vAlign w:val="center"/>
          </w:tcPr>
          <w:p>
            <w:pPr>
              <w:spacing w:before="30" w:after="30"/>
              <w:jc w:val="left"/>
              <w:rPr>
                <w:rFonts w:ascii="Arial" w:hAnsi="Arial" w:cs="Arial"/>
                <w:sz w:val="16"/>
                <w:szCs w:val="16"/>
              </w:rPr>
            </w:pPr>
            <w:r>
              <w:rPr>
                <w:rFonts w:ascii="Arial" w:hAnsi="Arial" w:cs="Arial"/>
                <w:sz w:val="16"/>
                <w:szCs w:val="16"/>
              </w:rPr>
              <w:t xml:space="preserve">PRO 10.1; CF 10.1.1</w:t>
            </w:r>
          </w:p>
        </w:tc>
        <w:tc>
          <w:tcPr>
            <w:tcW w:w="1211" w:type="dxa"/>
            <w:vAlign w:val="center"/>
          </w:tcPr>
          <w:p>
            <w:pPr>
              <w:spacing w:before="30" w:after="30"/>
              <w:jc w:val="left"/>
              <w:rPr>
                <w:rFonts w:ascii="Arial" w:hAnsi="Arial" w:cs="Arial"/>
                <w:sz w:val="16"/>
                <w:szCs w:val="16"/>
              </w:rPr>
            </w:pPr>
            <w:r>
              <w:rPr>
                <w:rFonts w:ascii="Arial" w:hAnsi="Arial" w:cs="Arial"/>
                <w:sz w:val="16"/>
                <w:szCs w:val="16"/>
              </w:rPr>
              <w:t xml:space="preserve">SHARE</w:t>
            </w:r>
          </w:p>
        </w:tc>
        <w:tc>
          <w:tcPr>
            <w:tcW w:w="4390" w:type="dxa"/>
            <w:vAlign w:val="center"/>
          </w:tcPr>
          <w:p>
            <w:pPr>
              <w:spacing w:before="30" w:after="30"/>
              <w:jc w:val="left"/>
              <w:rPr>
                <w:rFonts w:ascii="Arial" w:hAnsi="Arial" w:cs="Arial"/>
                <w:sz w:val="16"/>
                <w:szCs w:val="16"/>
              </w:rPr>
            </w:pPr>
            <w:r>
              <w:rPr>
                <w:rFonts w:ascii="Arial" w:hAnsi="Arial" w:cs="Arial"/>
                <w:sz w:val="16"/>
                <w:szCs w:val="16"/>
              </w:rPr>
              <w:t xml:space="preserve">One corrective action system and one CAPA form with a food safety flag.</w:t>
            </w:r>
          </w:p>
        </w:tc>
      </w:tr>
    </w:tbl>
    <w:p>
      <w:pPr>
        <w:spacing w:before="0" w:after="120"/>
      </w:pPr>
    </w:p>
    <w:p>
      <w:pPr>
        <w:pStyle w:val="Heading"/>
      </w:pPr>
      <w:r>
        <w:rPr>
          <w:rFonts w:ascii="Arial" w:hAnsi="Arial" w:cs="Arial"/>
          <w:b/>
          <w:bCs/>
          <w:sz w:val="24"/>
          <w:szCs w:val="24"/>
        </w:rPr>
        <w:t xml:space="preserve">8.	REQUIREMENTS THAT EXIST IN ONLY ONE STANDARD</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3936"/>
        <w:gridCol w:w="3028"/>
        <w:gridCol w:w="8176"/>
      </w:tblGrid>
      <w:tr>
        <w:trPr>
          <w:tblHeader/>
          <w:cantSplit/>
        </w:trPr>
        <w:tc>
          <w:tcPr>
            <w:tcW w:w="3936"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Requirement</w:t>
            </w:r>
          </w:p>
        </w:tc>
        <w:tc>
          <w:tcPr>
            <w:tcW w:w="3028"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In which standard</w:t>
            </w:r>
          </w:p>
        </w:tc>
        <w:tc>
          <w:tcPr>
            <w:tcW w:w="8176"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Implication for an integrated system</w:t>
            </w:r>
          </w:p>
        </w:tc>
      </w:tr>
      <w:tr>
        <w:tc>
          <w:tcPr>
            <w:tcW w:w="3936" w:type="dxa"/>
            <w:vAlign w:val="center"/>
          </w:tcPr>
          <w:p>
            <w:pPr>
              <w:spacing w:before="30" w:after="30"/>
              <w:jc w:val="left"/>
              <w:rPr>
                <w:rFonts w:ascii="Arial" w:hAnsi="Arial" w:cs="Arial"/>
                <w:sz w:val="18"/>
                <w:szCs w:val="18"/>
              </w:rPr>
            </w:pPr>
            <w:r>
              <w:rPr>
                <w:rFonts w:ascii="Arial" w:hAnsi="Arial" w:cs="Arial"/>
                <w:sz w:val="18"/>
                <w:szCs w:val="18"/>
              </w:rPr>
              <w:t xml:space="preserve">Hazard analysis, CCPs and OPRPs, the hazard control plan, and their validation and verification</w:t>
            </w:r>
          </w:p>
        </w:tc>
        <w:tc>
          <w:tcPr>
            <w:tcW w:w="3028" w:type="dxa"/>
            <w:vAlign w:val="center"/>
          </w:tcPr>
          <w:p>
            <w:pPr>
              <w:spacing w:before="30" w:after="30"/>
              <w:jc w:val="left"/>
              <w:rPr>
                <w:rFonts w:ascii="Arial" w:hAnsi="Arial" w:cs="Arial"/>
                <w:sz w:val="18"/>
                <w:szCs w:val="18"/>
              </w:rPr>
            </w:pPr>
            <w:r>
              <w:rPr>
                <w:rFonts w:ascii="Arial" w:hAnsi="Arial" w:cs="Arial"/>
                <w:sz w:val="18"/>
                <w:szCs w:val="18"/>
              </w:rPr>
              <w:t xml:space="preserve">ISO 22000 only</w:t>
            </w:r>
          </w:p>
        </w:tc>
        <w:tc>
          <w:tcPr>
            <w:tcW w:w="8176" w:type="dxa"/>
            <w:vAlign w:val="center"/>
          </w:tcPr>
          <w:p>
            <w:pPr>
              <w:spacing w:before="30" w:after="30"/>
              <w:jc w:val="left"/>
              <w:rPr>
                <w:rFonts w:ascii="Arial" w:hAnsi="Arial" w:cs="Arial"/>
                <w:sz w:val="18"/>
                <w:szCs w:val="18"/>
              </w:rPr>
            </w:pPr>
            <w:r>
              <w:rPr>
                <w:rFonts w:ascii="Arial" w:hAnsi="Arial" w:cs="Arial"/>
                <w:sz w:val="18"/>
                <w:szCs w:val="18"/>
              </w:rPr>
              <w:t xml:space="preserve">No ISO 9001 equivalent. Keep the HACCP documentation entirely separate; do not dilute it by merging it into a quality process control document.</w:t>
            </w:r>
          </w:p>
        </w:tc>
      </w:tr>
      <w:tr>
        <w:tc>
          <w:tcPr>
            <w:tcW w:w="3936" w:type="dxa"/>
            <w:vAlign w:val="center"/>
          </w:tcPr>
          <w:p>
            <w:pPr>
              <w:spacing w:before="30" w:after="30"/>
              <w:jc w:val="left"/>
              <w:rPr>
                <w:rFonts w:ascii="Arial" w:hAnsi="Arial" w:cs="Arial"/>
                <w:sz w:val="18"/>
                <w:szCs w:val="18"/>
              </w:rPr>
            </w:pPr>
            <w:r>
              <w:rPr>
                <w:rFonts w:ascii="Arial" w:hAnsi="Arial" w:cs="Arial"/>
                <w:sz w:val="18"/>
                <w:szCs w:val="18"/>
              </w:rPr>
              <w:t xml:space="preserve">Prerequisite programmes (ISO 22002-100 and ISO 22002-4)</w:t>
            </w:r>
          </w:p>
        </w:tc>
        <w:tc>
          <w:tcPr>
            <w:tcW w:w="3028" w:type="dxa"/>
            <w:vAlign w:val="center"/>
          </w:tcPr>
          <w:p>
            <w:pPr>
              <w:spacing w:before="30" w:after="30"/>
              <w:jc w:val="left"/>
              <w:rPr>
                <w:rFonts w:ascii="Arial" w:hAnsi="Arial" w:cs="Arial"/>
                <w:sz w:val="18"/>
                <w:szCs w:val="18"/>
              </w:rPr>
            </w:pPr>
            <w:r>
              <w:rPr>
                <w:rFonts w:ascii="Arial" w:hAnsi="Arial" w:cs="Arial"/>
                <w:sz w:val="18"/>
                <w:szCs w:val="18"/>
              </w:rPr>
              <w:t xml:space="preserve">FSSC 22000 only</w:t>
            </w:r>
          </w:p>
        </w:tc>
        <w:tc>
          <w:tcPr>
            <w:tcW w:w="8176" w:type="dxa"/>
            <w:vAlign w:val="center"/>
          </w:tcPr>
          <w:p>
            <w:pPr>
              <w:spacing w:before="30" w:after="30"/>
              <w:jc w:val="left"/>
              <w:rPr>
                <w:rFonts w:ascii="Arial" w:hAnsi="Arial" w:cs="Arial"/>
                <w:sz w:val="18"/>
                <w:szCs w:val="18"/>
              </w:rPr>
            </w:pPr>
            <w:r>
              <w:rPr>
                <w:rFonts w:ascii="Arial" w:hAnsi="Arial" w:cs="Arial"/>
                <w:sz w:val="18"/>
                <w:szCs w:val="18"/>
              </w:rPr>
              <w:t xml:space="preserve">Keep as a separate part. Many PRPs nevertheless deliver quality outcomes and should be cross-referred from the quality process documents.</w:t>
            </w:r>
          </w:p>
        </w:tc>
      </w:tr>
      <w:tr>
        <w:tc>
          <w:tcPr>
            <w:tcW w:w="3936" w:type="dxa"/>
            <w:vAlign w:val="center"/>
          </w:tcPr>
          <w:p>
            <w:pPr>
              <w:spacing w:before="30" w:after="30"/>
              <w:jc w:val="left"/>
              <w:rPr>
                <w:rFonts w:ascii="Arial" w:hAnsi="Arial" w:cs="Arial"/>
                <w:sz w:val="18"/>
                <w:szCs w:val="18"/>
              </w:rPr>
            </w:pPr>
            <w:r>
              <w:rPr>
                <w:rFonts w:ascii="Arial" w:hAnsi="Arial" w:cs="Arial"/>
                <w:sz w:val="18"/>
                <w:szCs w:val="18"/>
              </w:rPr>
              <w:t xml:space="preserve">Food defence, food fraud mitigation, allergen management, environmental monitoring, food loss and waste</w:t>
            </w:r>
          </w:p>
        </w:tc>
        <w:tc>
          <w:tcPr>
            <w:tcW w:w="3028" w:type="dxa"/>
            <w:vAlign w:val="center"/>
          </w:tcPr>
          <w:p>
            <w:pPr>
              <w:spacing w:before="30" w:after="30"/>
              <w:jc w:val="left"/>
              <w:rPr>
                <w:rFonts w:ascii="Arial" w:hAnsi="Arial" w:cs="Arial"/>
                <w:sz w:val="18"/>
                <w:szCs w:val="18"/>
              </w:rPr>
            </w:pPr>
            <w:r>
              <w:rPr>
                <w:rFonts w:ascii="Arial" w:hAnsi="Arial" w:cs="Arial"/>
                <w:sz w:val="18"/>
                <w:szCs w:val="18"/>
              </w:rPr>
              <w:t xml:space="preserve">FSSC V7 only</w:t>
            </w:r>
          </w:p>
        </w:tc>
        <w:tc>
          <w:tcPr>
            <w:tcW w:w="8176" w:type="dxa"/>
            <w:vAlign w:val="center"/>
          </w:tcPr>
          <w:p>
            <w:pPr>
              <w:spacing w:before="30" w:after="30"/>
              <w:jc w:val="left"/>
              <w:rPr>
                <w:rFonts w:ascii="Arial" w:hAnsi="Arial" w:cs="Arial"/>
                <w:sz w:val="18"/>
                <w:szCs w:val="18"/>
              </w:rPr>
            </w:pPr>
            <w:r>
              <w:rPr>
                <w:rFonts w:ascii="Arial" w:hAnsi="Arial" w:cs="Arial"/>
                <w:sz w:val="18"/>
                <w:szCs w:val="18"/>
              </w:rPr>
              <w:t xml:space="preserve">No ISO 9001 equivalent. Keep separate.</w:t>
            </w:r>
          </w:p>
        </w:tc>
      </w:tr>
      <w:tr>
        <w:tc>
          <w:tcPr>
            <w:tcW w:w="3936" w:type="dxa"/>
            <w:vAlign w:val="center"/>
          </w:tcPr>
          <w:p>
            <w:pPr>
              <w:spacing w:before="30" w:after="30"/>
              <w:jc w:val="left"/>
              <w:rPr>
                <w:rFonts w:ascii="Arial" w:hAnsi="Arial" w:cs="Arial"/>
                <w:sz w:val="18"/>
                <w:szCs w:val="18"/>
              </w:rPr>
            </w:pPr>
            <w:r>
              <w:rPr>
                <w:rFonts w:ascii="Arial" w:hAnsi="Arial" w:cs="Arial"/>
                <w:sz w:val="18"/>
                <w:szCs w:val="18"/>
              </w:rPr>
              <w:t xml:space="preserve">Emergency preparedness and response for food safety</w:t>
            </w:r>
          </w:p>
        </w:tc>
        <w:tc>
          <w:tcPr>
            <w:tcW w:w="3028" w:type="dxa"/>
            <w:vAlign w:val="center"/>
          </w:tcPr>
          <w:p>
            <w:pPr>
              <w:spacing w:before="30" w:after="30"/>
              <w:jc w:val="left"/>
              <w:rPr>
                <w:rFonts w:ascii="Arial" w:hAnsi="Arial" w:cs="Arial"/>
                <w:sz w:val="18"/>
                <w:szCs w:val="18"/>
              </w:rPr>
            </w:pPr>
            <w:r>
              <w:rPr>
                <w:rFonts w:ascii="Arial" w:hAnsi="Arial" w:cs="Arial"/>
                <w:sz w:val="18"/>
                <w:szCs w:val="18"/>
              </w:rPr>
              <w:t xml:space="preserve">ISO 22000 8.4 only</w:t>
            </w:r>
          </w:p>
        </w:tc>
        <w:tc>
          <w:tcPr>
            <w:tcW w:w="8176" w:type="dxa"/>
            <w:vAlign w:val="center"/>
          </w:tcPr>
          <w:p>
            <w:pPr>
              <w:spacing w:before="30" w:after="30"/>
              <w:jc w:val="left"/>
              <w:rPr>
                <w:rFonts w:ascii="Arial" w:hAnsi="Arial" w:cs="Arial"/>
                <w:sz w:val="18"/>
                <w:szCs w:val="18"/>
              </w:rPr>
            </w:pPr>
            <w:r>
              <w:rPr>
                <w:rFonts w:ascii="Arial" w:hAnsi="Arial" w:cs="Arial"/>
                <w:sz w:val="18"/>
                <w:szCs w:val="18"/>
              </w:rPr>
              <w:t xml:space="preserve">Overlaps materially with the ISO 9001:2026 contingency-for-disruption requirement at 8.2.1. Run one continuity and emergency programme (PRO 3.4) with two scenario sets.</w:t>
            </w:r>
          </w:p>
        </w:tc>
      </w:tr>
      <w:tr>
        <w:tc>
          <w:tcPr>
            <w:tcW w:w="3936" w:type="dxa"/>
            <w:vAlign w:val="center"/>
          </w:tcPr>
          <w:p>
            <w:pPr>
              <w:spacing w:before="30" w:after="30"/>
              <w:jc w:val="left"/>
              <w:rPr>
                <w:rFonts w:ascii="Arial" w:hAnsi="Arial" w:cs="Arial"/>
                <w:sz w:val="18"/>
                <w:szCs w:val="18"/>
              </w:rPr>
            </w:pPr>
            <w:r>
              <w:rPr>
                <w:rFonts w:ascii="Arial" w:hAnsi="Arial" w:cs="Arial"/>
                <w:sz w:val="18"/>
                <w:szCs w:val="18"/>
              </w:rPr>
              <w:t xml:space="preserve">Design and development stage gates with verification and validation</w:t>
            </w:r>
          </w:p>
        </w:tc>
        <w:tc>
          <w:tcPr>
            <w:tcW w:w="3028" w:type="dxa"/>
            <w:vAlign w:val="center"/>
          </w:tcPr>
          <w:p>
            <w:pPr>
              <w:spacing w:before="30" w:after="30"/>
              <w:jc w:val="left"/>
              <w:rPr>
                <w:rFonts w:ascii="Arial" w:hAnsi="Arial" w:cs="Arial"/>
                <w:sz w:val="18"/>
                <w:szCs w:val="18"/>
              </w:rPr>
            </w:pPr>
            <w:r>
              <w:rPr>
                <w:rFonts w:ascii="Arial" w:hAnsi="Arial" w:cs="Arial"/>
                <w:sz w:val="18"/>
                <w:szCs w:val="18"/>
              </w:rPr>
              <w:t xml:space="preserve">ISO 9001 and FSSC V7 2.5.13</w:t>
            </w:r>
          </w:p>
        </w:tc>
        <w:tc>
          <w:tcPr>
            <w:tcW w:w="8176" w:type="dxa"/>
            <w:vAlign w:val="center"/>
          </w:tcPr>
          <w:p>
            <w:pPr>
              <w:spacing w:before="30" w:after="30"/>
              <w:jc w:val="left"/>
              <w:rPr>
                <w:rFonts w:ascii="Arial" w:hAnsi="Arial" w:cs="Arial"/>
                <w:sz w:val="18"/>
                <w:szCs w:val="18"/>
              </w:rPr>
            </w:pPr>
            <w:r>
              <w:rPr>
                <w:rFonts w:ascii="Arial" w:hAnsi="Arial" w:cs="Arial"/>
                <w:sz w:val="18"/>
                <w:szCs w:val="18"/>
              </w:rPr>
              <w:t xml:space="preserve">Already shared above.</w:t>
            </w:r>
          </w:p>
        </w:tc>
      </w:tr>
      <w:tr>
        <w:tc>
          <w:tcPr>
            <w:tcW w:w="3936" w:type="dxa"/>
            <w:vAlign w:val="center"/>
          </w:tcPr>
          <w:p>
            <w:pPr>
              <w:spacing w:before="30" w:after="30"/>
              <w:jc w:val="left"/>
              <w:rPr>
                <w:rFonts w:ascii="Arial" w:hAnsi="Arial" w:cs="Arial"/>
                <w:sz w:val="18"/>
                <w:szCs w:val="18"/>
              </w:rPr>
            </w:pPr>
            <w:r>
              <w:rPr>
                <w:rFonts w:ascii="Arial" w:hAnsi="Arial" w:cs="Arial"/>
                <w:sz w:val="18"/>
                <w:szCs w:val="18"/>
              </w:rPr>
              <w:t xml:space="preserve">Organizational knowledge</w:t>
            </w:r>
          </w:p>
        </w:tc>
        <w:tc>
          <w:tcPr>
            <w:tcW w:w="3028" w:type="dxa"/>
            <w:vAlign w:val="center"/>
          </w:tcPr>
          <w:p>
            <w:pPr>
              <w:spacing w:before="30" w:after="30"/>
              <w:jc w:val="left"/>
              <w:rPr>
                <w:rFonts w:ascii="Arial" w:hAnsi="Arial" w:cs="Arial"/>
                <w:sz w:val="18"/>
                <w:szCs w:val="18"/>
              </w:rPr>
            </w:pPr>
            <w:r>
              <w:rPr>
                <w:rFonts w:ascii="Arial" w:hAnsi="Arial" w:cs="Arial"/>
                <w:sz w:val="18"/>
                <w:szCs w:val="18"/>
              </w:rPr>
              <w:t xml:space="preserve">ISO 9001 only</w:t>
            </w:r>
          </w:p>
        </w:tc>
        <w:tc>
          <w:tcPr>
            <w:tcW w:w="8176" w:type="dxa"/>
            <w:vAlign w:val="center"/>
          </w:tcPr>
          <w:p>
            <w:pPr>
              <w:spacing w:before="30" w:after="30"/>
              <w:jc w:val="left"/>
              <w:rPr>
                <w:rFonts w:ascii="Arial" w:hAnsi="Arial" w:cs="Arial"/>
                <w:sz w:val="18"/>
                <w:szCs w:val="18"/>
              </w:rPr>
            </w:pPr>
            <w:r>
              <w:rPr>
                <w:rFonts w:ascii="Arial" w:hAnsi="Arial" w:cs="Arial"/>
                <w:sz w:val="18"/>
                <w:szCs w:val="18"/>
              </w:rPr>
              <w:t xml:space="preserve">Separate register; captures food safety knowledge too.</w:t>
            </w:r>
          </w:p>
        </w:tc>
      </w:tr>
      <w:tr>
        <w:tc>
          <w:tcPr>
            <w:tcW w:w="3936" w:type="dxa"/>
            <w:vAlign w:val="center"/>
          </w:tcPr>
          <w:p>
            <w:pPr>
              <w:spacing w:before="30" w:after="30"/>
              <w:jc w:val="left"/>
              <w:rPr>
                <w:rFonts w:ascii="Arial" w:hAnsi="Arial" w:cs="Arial"/>
                <w:sz w:val="18"/>
                <w:szCs w:val="18"/>
              </w:rPr>
            </w:pPr>
            <w:r>
              <w:rPr>
                <w:rFonts w:ascii="Arial" w:hAnsi="Arial" w:cs="Arial"/>
                <w:sz w:val="18"/>
                <w:szCs w:val="18"/>
              </w:rPr>
              <w:t xml:space="preserve">Customer property</w:t>
            </w:r>
          </w:p>
        </w:tc>
        <w:tc>
          <w:tcPr>
            <w:tcW w:w="3028" w:type="dxa"/>
            <w:vAlign w:val="center"/>
          </w:tcPr>
          <w:p>
            <w:pPr>
              <w:spacing w:before="30" w:after="30"/>
              <w:jc w:val="left"/>
              <w:rPr>
                <w:rFonts w:ascii="Arial" w:hAnsi="Arial" w:cs="Arial"/>
                <w:sz w:val="18"/>
                <w:szCs w:val="18"/>
              </w:rPr>
            </w:pPr>
            <w:r>
              <w:rPr>
                <w:rFonts w:ascii="Arial" w:hAnsi="Arial" w:cs="Arial"/>
                <w:sz w:val="18"/>
                <w:szCs w:val="18"/>
              </w:rPr>
              <w:t xml:space="preserve">ISO 9001 only</w:t>
            </w:r>
          </w:p>
        </w:tc>
        <w:tc>
          <w:tcPr>
            <w:tcW w:w="8176" w:type="dxa"/>
            <w:vAlign w:val="center"/>
          </w:tcPr>
          <w:p>
            <w:pPr>
              <w:spacing w:before="30" w:after="30"/>
              <w:jc w:val="left"/>
              <w:rPr>
                <w:rFonts w:ascii="Arial" w:hAnsi="Arial" w:cs="Arial"/>
                <w:sz w:val="18"/>
                <w:szCs w:val="18"/>
              </w:rPr>
            </w:pPr>
            <w:r>
              <w:rPr>
                <w:rFonts w:ascii="Arial" w:hAnsi="Arial" w:cs="Arial"/>
                <w:sz w:val="18"/>
                <w:szCs w:val="18"/>
              </w:rPr>
              <w:t xml:space="preserve">Separate register.</w:t>
            </w:r>
          </w:p>
        </w:tc>
      </w:tr>
      <w:tr>
        <w:tc>
          <w:tcPr>
            <w:tcW w:w="3936" w:type="dxa"/>
            <w:vAlign w:val="center"/>
          </w:tcPr>
          <w:p>
            <w:pPr>
              <w:spacing w:before="30" w:after="30"/>
              <w:jc w:val="left"/>
              <w:rPr>
                <w:rFonts w:ascii="Arial" w:hAnsi="Arial" w:cs="Arial"/>
                <w:sz w:val="18"/>
                <w:szCs w:val="18"/>
              </w:rPr>
            </w:pPr>
            <w:r>
              <w:rPr>
                <w:rFonts w:ascii="Arial" w:hAnsi="Arial" w:cs="Arial"/>
                <w:sz w:val="18"/>
                <w:szCs w:val="18"/>
              </w:rPr>
              <w:t xml:space="preserve">Opportunity management as a distinct cycle</w:t>
            </w:r>
          </w:p>
        </w:tc>
        <w:tc>
          <w:tcPr>
            <w:tcW w:w="3028" w:type="dxa"/>
            <w:vAlign w:val="center"/>
          </w:tcPr>
          <w:p>
            <w:pPr>
              <w:spacing w:before="30" w:after="30"/>
              <w:jc w:val="left"/>
              <w:rPr>
                <w:rFonts w:ascii="Arial" w:hAnsi="Arial" w:cs="Arial"/>
                <w:sz w:val="18"/>
                <w:szCs w:val="18"/>
              </w:rPr>
            </w:pPr>
            <w:r>
              <w:rPr>
                <w:rFonts w:ascii="Arial" w:hAnsi="Arial" w:cs="Arial"/>
                <w:sz w:val="18"/>
                <w:szCs w:val="18"/>
              </w:rPr>
              <w:t xml:space="preserve">ISO 9001:2026 only</w:t>
            </w:r>
          </w:p>
        </w:tc>
        <w:tc>
          <w:tcPr>
            <w:tcW w:w="8176" w:type="dxa"/>
            <w:vAlign w:val="center"/>
          </w:tcPr>
          <w:p>
            <w:pPr>
              <w:spacing w:before="30" w:after="30"/>
              <w:jc w:val="left"/>
              <w:rPr>
                <w:rFonts w:ascii="Arial" w:hAnsi="Arial" w:cs="Arial"/>
                <w:sz w:val="18"/>
                <w:szCs w:val="18"/>
              </w:rPr>
            </w:pPr>
            <w:r>
              <w:rPr>
                <w:rFonts w:ascii="Arial" w:hAnsi="Arial" w:cs="Arial"/>
                <w:sz w:val="18"/>
                <w:szCs w:val="18"/>
              </w:rPr>
              <w:t xml:space="preserve">Separate register (CF 6.1.2). A food safety risk register cannot absorb it without losing the selection and benefit discipline the 2026 edition expects.</w:t>
            </w:r>
          </w:p>
        </w:tc>
      </w:tr>
      <w:tr>
        <w:tc>
          <w:tcPr>
            <w:tcW w:w="3936" w:type="dxa"/>
            <w:vAlign w:val="center"/>
          </w:tcPr>
          <w:p>
            <w:pPr>
              <w:spacing w:before="30" w:after="30"/>
              <w:jc w:val="left"/>
              <w:rPr>
                <w:rFonts w:ascii="Arial" w:hAnsi="Arial" w:cs="Arial"/>
                <w:sz w:val="18"/>
                <w:szCs w:val="18"/>
              </w:rPr>
            </w:pPr>
            <w:r>
              <w:rPr>
                <w:rFonts w:ascii="Arial" w:hAnsi="Arial" w:cs="Arial"/>
                <w:sz w:val="18"/>
                <w:szCs w:val="18"/>
              </w:rPr>
              <w:t xml:space="preserve">Climate change relevance determination</w:t>
            </w:r>
          </w:p>
        </w:tc>
        <w:tc>
          <w:tcPr>
            <w:tcW w:w="3028" w:type="dxa"/>
            <w:vAlign w:val="center"/>
          </w:tcPr>
          <w:p>
            <w:pPr>
              <w:spacing w:before="30" w:after="30"/>
              <w:jc w:val="left"/>
              <w:rPr>
                <w:rFonts w:ascii="Arial" w:hAnsi="Arial" w:cs="Arial"/>
                <w:sz w:val="18"/>
                <w:szCs w:val="18"/>
              </w:rPr>
            </w:pPr>
            <w:r>
              <w:rPr>
                <w:rFonts w:ascii="Arial" w:hAnsi="Arial" w:cs="Arial"/>
                <w:sz w:val="18"/>
                <w:szCs w:val="18"/>
              </w:rPr>
              <w:t xml:space="preserve">ISO 9001:2026 clause 4.1</w:t>
            </w:r>
          </w:p>
        </w:tc>
        <w:tc>
          <w:tcPr>
            <w:tcW w:w="8176" w:type="dxa"/>
            <w:vAlign w:val="center"/>
          </w:tcPr>
          <w:p>
            <w:pPr>
              <w:spacing w:before="30" w:after="30"/>
              <w:jc w:val="left"/>
              <w:rPr>
                <w:rFonts w:ascii="Arial" w:hAnsi="Arial" w:cs="Arial"/>
                <w:sz w:val="18"/>
                <w:szCs w:val="18"/>
              </w:rPr>
            </w:pPr>
            <w:r>
              <w:rPr>
                <w:rFonts w:ascii="Arial" w:hAnsi="Arial" w:cs="Arial"/>
                <w:sz w:val="18"/>
                <w:szCs w:val="18"/>
              </w:rPr>
              <w:t xml:space="preserve">Determine once for the site and use the same determination as a context input to both systems.</w:t>
            </w:r>
          </w:p>
        </w:tc>
      </w:tr>
      <w:tr>
        <w:tc>
          <w:tcPr>
            <w:tcW w:w="3936" w:type="dxa"/>
            <w:vAlign w:val="center"/>
          </w:tcPr>
          <w:p>
            <w:pPr>
              <w:spacing w:before="30" w:after="30"/>
              <w:jc w:val="left"/>
              <w:rPr>
                <w:rFonts w:ascii="Arial" w:hAnsi="Arial" w:cs="Arial"/>
                <w:sz w:val="18"/>
                <w:szCs w:val="18"/>
              </w:rPr>
            </w:pPr>
            <w:r>
              <w:rPr>
                <w:rFonts w:ascii="Arial" w:hAnsi="Arial" w:cs="Arial"/>
                <w:sz w:val="18"/>
                <w:szCs w:val="18"/>
              </w:rPr>
              <w:t xml:space="preserve">Quality culture and ethical behaviour</w:t>
            </w:r>
          </w:p>
        </w:tc>
        <w:tc>
          <w:tcPr>
            <w:tcW w:w="3028" w:type="dxa"/>
            <w:vAlign w:val="center"/>
          </w:tcPr>
          <w:p>
            <w:pPr>
              <w:spacing w:before="30" w:after="30"/>
              <w:jc w:val="left"/>
              <w:rPr>
                <w:rFonts w:ascii="Arial" w:hAnsi="Arial" w:cs="Arial"/>
                <w:sz w:val="18"/>
                <w:szCs w:val="18"/>
              </w:rPr>
            </w:pPr>
            <w:r>
              <w:rPr>
                <w:rFonts w:ascii="Arial" w:hAnsi="Arial" w:cs="Arial"/>
                <w:sz w:val="18"/>
                <w:szCs w:val="18"/>
              </w:rPr>
              <w:t xml:space="preserve">ISO 9001:2026 clause 5.1.1 and FSSC V7 clause 2.5.8</w:t>
            </w:r>
          </w:p>
        </w:tc>
        <w:tc>
          <w:tcPr>
            <w:tcW w:w="8176" w:type="dxa"/>
            <w:vAlign w:val="center"/>
          </w:tcPr>
          <w:p>
            <w:pPr>
              <w:spacing w:before="30" w:after="30"/>
              <w:jc w:val="left"/>
              <w:rPr>
                <w:rFonts w:ascii="Arial" w:hAnsi="Arial" w:cs="Arial"/>
                <w:sz w:val="18"/>
                <w:szCs w:val="18"/>
              </w:rPr>
            </w:pPr>
            <w:r>
              <w:rPr>
                <w:rFonts w:ascii="Arial" w:hAnsi="Arial" w:cs="Arial"/>
                <w:sz w:val="18"/>
                <w:szCs w:val="18"/>
              </w:rPr>
              <w:t xml:space="preserve">Run one programme. This is the clearest shared requirement in the two standards.</w:t>
            </w:r>
          </w:p>
        </w:tc>
      </w:tr>
    </w:tbl>
    <w:p>
      <w:pPr>
        <w:spacing w:before="0" w:after="120"/>
      </w:pPr>
    </w:p>
    <w:p>
      <w:pPr>
        <w:pStyle w:val="Heading"/>
      </w:pPr>
      <w:r>
        <w:rPr>
          <w:rFonts w:ascii="Arial" w:hAnsi="Arial" w:cs="Arial"/>
          <w:b/>
          <w:bCs/>
          <w:sz w:val="24"/>
          <w:szCs w:val="24"/>
        </w:rPr>
        <w:t xml:space="preserve">9.	INTEGRATION DECISION RECORD</w:t>
      </w:r>
    </w:p>
    <w:p>
      <w:pPr>
        <w:spacing w:before="120" w:after="240"/>
        <w:jc w:val="both"/>
        <w:rPr>
          <w:rFonts w:ascii="Arial" w:hAnsi="Arial" w:cs="Arial"/>
          <w:sz w:val="22"/>
          <w:szCs w:val="22"/>
        </w:rPr>
      </w:pPr>
      <w:r>
        <w:rPr>
          <w:rFonts w:ascii="Arial" w:hAnsi="Arial" w:cs="Arial"/>
          <w:sz w:val="22"/>
          <w:szCs w:val="22"/>
        </w:rPr>
        <w:t xml:space="preserve">The site records its own decision against each row of this matrix before implementation, and records who approved it. Where a SHARE decision is taken, the surviving document must be listed once on CF 7.5.1 Master Document Register with both clause references, and both certification bodies must be able to find it.</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6662"/>
        <w:gridCol w:w="2120"/>
        <w:gridCol w:w="2422"/>
        <w:gridCol w:w="2422"/>
        <w:gridCol w:w="1514"/>
      </w:tblGrid>
      <w:tr>
        <w:trPr>
          <w:tblHeader/>
          <w:cantSplit/>
        </w:trPr>
        <w:tc>
          <w:tcPr>
            <w:tcW w:w="6662"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Decision</w:t>
            </w:r>
          </w:p>
        </w:tc>
        <w:tc>
          <w:tcPr>
            <w:tcW w:w="2120"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Number of rows</w:t>
            </w:r>
          </w:p>
        </w:tc>
        <w:tc>
          <w:tcPr>
            <w:tcW w:w="2422"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Recorded by</w:t>
            </w:r>
          </w:p>
        </w:tc>
        <w:tc>
          <w:tcPr>
            <w:tcW w:w="2422"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Approved by</w:t>
            </w:r>
          </w:p>
        </w:tc>
        <w:tc>
          <w:tcPr>
            <w:tcW w:w="151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Date</w:t>
            </w:r>
          </w:p>
        </w:tc>
      </w:tr>
      <w:tr>
        <w:tc>
          <w:tcPr>
            <w:tcW w:w="6662" w:type="dxa"/>
            <w:vAlign w:val="center"/>
          </w:tcPr>
          <w:p>
            <w:pPr>
              <w:spacing w:before="30" w:after="30"/>
              <w:jc w:val="left"/>
              <w:rPr>
                <w:rFonts w:ascii="Arial" w:hAnsi="Arial" w:cs="Arial"/>
                <w:sz w:val="20"/>
                <w:szCs w:val="20"/>
              </w:rPr>
            </w:pPr>
            <w:r>
              <w:rPr>
                <w:rFonts w:ascii="Arial" w:hAnsi="Arial" w:cs="Arial"/>
                <w:sz w:val="20"/>
                <w:szCs w:val="20"/>
              </w:rPr>
              <w:t xml:space="preserve">SHARE</w:t>
            </w:r>
          </w:p>
        </w:tc>
        <w:tc>
          <w:tcPr>
            <w:tcW w:w="2120"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422"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422"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1514" w:type="dxa"/>
            <w:vAlign w:val="center"/>
          </w:tcPr>
          <w:p>
            <w:pPr>
              <w:spacing w:before="30" w:after="30"/>
              <w:jc w:val="left"/>
              <w:rPr>
                <w:rFonts w:ascii="Arial" w:hAnsi="Arial" w:cs="Arial"/>
                <w:sz w:val="20"/>
                <w:szCs w:val="20"/>
              </w:rPr>
            </w:pPr>
            <w:r>
              <w:rPr>
                <w:rFonts w:ascii="Arial" w:hAnsi="Arial" w:cs="Arial"/>
                <w:sz w:val="20"/>
                <w:szCs w:val="20"/>
              </w:rPr>
              <w:t xml:space="preserve"/>
            </w:r>
          </w:p>
        </w:tc>
      </w:tr>
      <w:tr>
        <w:tc>
          <w:tcPr>
            <w:tcW w:w="6662" w:type="dxa"/>
            <w:vAlign w:val="center"/>
          </w:tcPr>
          <w:p>
            <w:pPr>
              <w:spacing w:before="30" w:after="30"/>
              <w:jc w:val="left"/>
              <w:rPr>
                <w:rFonts w:ascii="Arial" w:hAnsi="Arial" w:cs="Arial"/>
                <w:sz w:val="20"/>
                <w:szCs w:val="20"/>
              </w:rPr>
            </w:pPr>
            <w:r>
              <w:rPr>
                <w:rFonts w:ascii="Arial" w:hAnsi="Arial" w:cs="Arial"/>
                <w:sz w:val="20"/>
                <w:szCs w:val="20"/>
              </w:rPr>
              <w:t xml:space="preserve">EXTEND</w:t>
            </w:r>
          </w:p>
        </w:tc>
        <w:tc>
          <w:tcPr>
            <w:tcW w:w="2120"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422"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422"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1514" w:type="dxa"/>
            <w:vAlign w:val="center"/>
          </w:tcPr>
          <w:p>
            <w:pPr>
              <w:spacing w:before="30" w:after="30"/>
              <w:jc w:val="left"/>
              <w:rPr>
                <w:rFonts w:ascii="Arial" w:hAnsi="Arial" w:cs="Arial"/>
                <w:sz w:val="20"/>
                <w:szCs w:val="20"/>
              </w:rPr>
            </w:pPr>
            <w:r>
              <w:rPr>
                <w:rFonts w:ascii="Arial" w:hAnsi="Arial" w:cs="Arial"/>
                <w:sz w:val="20"/>
                <w:szCs w:val="20"/>
              </w:rPr>
              <w:t xml:space="preserve"/>
            </w:r>
          </w:p>
        </w:tc>
      </w:tr>
      <w:tr>
        <w:tc>
          <w:tcPr>
            <w:tcW w:w="6662" w:type="dxa"/>
            <w:vAlign w:val="center"/>
          </w:tcPr>
          <w:p>
            <w:pPr>
              <w:spacing w:before="30" w:after="30"/>
              <w:jc w:val="left"/>
              <w:rPr>
                <w:rFonts w:ascii="Arial" w:hAnsi="Arial" w:cs="Arial"/>
                <w:sz w:val="20"/>
                <w:szCs w:val="20"/>
              </w:rPr>
            </w:pPr>
            <w:r>
              <w:rPr>
                <w:rFonts w:ascii="Arial" w:hAnsi="Arial" w:cs="Arial"/>
                <w:sz w:val="20"/>
                <w:szCs w:val="20"/>
              </w:rPr>
              <w:t xml:space="preserve">SEPARATE</w:t>
            </w:r>
          </w:p>
        </w:tc>
        <w:tc>
          <w:tcPr>
            <w:tcW w:w="2120"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422"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422"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1514" w:type="dxa"/>
            <w:vAlign w:val="center"/>
          </w:tcPr>
          <w:p>
            <w:pPr>
              <w:spacing w:before="30" w:after="30"/>
              <w:jc w:val="left"/>
              <w:rPr>
                <w:rFonts w:ascii="Arial" w:hAnsi="Arial" w:cs="Arial"/>
                <w:sz w:val="20"/>
                <w:szCs w:val="20"/>
              </w:rPr>
            </w:pPr>
            <w:r>
              <w:rPr>
                <w:rFonts w:ascii="Arial" w:hAnsi="Arial" w:cs="Arial"/>
                <w:sz w:val="20"/>
                <w:szCs w:val="20"/>
              </w:rPr>
              <w:t xml:space="preserve"/>
            </w:r>
          </w:p>
        </w:tc>
      </w:tr>
      <w:tr>
        <w:tc>
          <w:tcPr>
            <w:tcW w:w="6662" w:type="dxa"/>
            <w:vAlign w:val="center"/>
          </w:tcPr>
          <w:p>
            <w:pPr>
              <w:spacing w:before="30" w:after="30"/>
              <w:jc w:val="left"/>
              <w:rPr>
                <w:rFonts w:ascii="Arial" w:hAnsi="Arial" w:cs="Arial"/>
                <w:sz w:val="20"/>
                <w:szCs w:val="20"/>
              </w:rPr>
            </w:pPr>
            <w:r>
              <w:rPr>
                <w:rFonts w:ascii="Arial" w:hAnsi="Arial" w:cs="Arial"/>
                <w:sz w:val="20"/>
                <w:szCs w:val="20"/>
              </w:rPr>
              <w:t xml:space="preserve">Deviation from this matrix (state the row and the reason)</w:t>
            </w:r>
          </w:p>
        </w:tc>
        <w:tc>
          <w:tcPr>
            <w:tcW w:w="2120"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422"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422"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1514" w:type="dxa"/>
            <w:vAlign w:val="center"/>
          </w:tcPr>
          <w:p>
            <w:pPr>
              <w:spacing w:before="30" w:after="30"/>
              <w:jc w:val="left"/>
              <w:rPr>
                <w:rFonts w:ascii="Arial" w:hAnsi="Arial" w:cs="Arial"/>
                <w:sz w:val="20"/>
                <w:szCs w:val="20"/>
              </w:rPr>
            </w:pPr>
            <w:r>
              <w:rPr>
                <w:rFonts w:ascii="Arial" w:hAnsi="Arial" w:cs="Arial"/>
                <w:sz w:val="20"/>
                <w:szCs w:val="20"/>
              </w:rPr>
              <w:t xml:space="preserve"/>
            </w:r>
          </w:p>
        </w:tc>
      </w:tr>
    </w:tbl>
    <w:p>
      <w:pPr>
        <w:spacing w:before="0" w:after="120"/>
      </w:pPr>
    </w:p>
    <w:p>
      <w:pPr>
        <w:pStyle w:val="Heading"/>
      </w:pPr>
      <w:r>
        <w:rPr>
          <w:rFonts w:ascii="Arial" w:hAnsi="Arial" w:cs="Arial"/>
          <w:b/>
          <w:bCs/>
          <w:sz w:val="24"/>
          <w:szCs w:val="24"/>
        </w:rPr>
        <w:t xml:space="preserve">10.	REVISION HISTORY</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908"/>
        <w:gridCol w:w="1817"/>
        <w:gridCol w:w="6964"/>
        <w:gridCol w:w="2725"/>
        <w:gridCol w:w="2726"/>
      </w:tblGrid>
      <w:tr>
        <w:trPr>
          <w:tblHeader/>
          <w:cantSplit/>
        </w:trPr>
        <w:tc>
          <w:tcPr>
            <w:tcW w:w="90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Rev</w:t>
            </w:r>
          </w:p>
        </w:tc>
        <w:tc>
          <w:tcPr>
            <w:tcW w:w="1817"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Date</w:t>
            </w:r>
          </w:p>
        </w:tc>
        <w:tc>
          <w:tcPr>
            <w:tcW w:w="696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Description of Change</w:t>
            </w:r>
          </w:p>
        </w:tc>
        <w:tc>
          <w:tcPr>
            <w:tcW w:w="2725"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Compiled by</w:t>
            </w:r>
          </w:p>
        </w:tc>
        <w:tc>
          <w:tcPr>
            <w:tcW w:w="272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Approved by</w:t>
            </w:r>
          </w:p>
        </w:tc>
      </w:tr>
      <w:tr>
        <w:tc>
          <w:tcPr>
            <w:tcW w:w="908" w:type="dxa"/>
            <w:vAlign w:val="center"/>
          </w:tcPr>
          <w:p>
            <w:pPr>
              <w:spacing w:before="30" w:after="30"/>
              <w:jc w:val="left"/>
              <w:rPr>
                <w:rFonts w:ascii="Arial" w:hAnsi="Arial" w:cs="Arial"/>
                <w:sz w:val="20"/>
                <w:szCs w:val="20"/>
              </w:rPr>
            </w:pPr>
            <w:r>
              <w:rPr>
                <w:rFonts w:ascii="Arial" w:hAnsi="Arial" w:cs="Arial"/>
                <w:sz w:val="20"/>
                <w:szCs w:val="20"/>
              </w:rPr>
              <w:t xml:space="preserve">00</w:t>
            </w:r>
          </w:p>
        </w:tc>
        <w:tc>
          <w:tcPr>
            <w:tcW w:w="1817" w:type="dxa"/>
            <w:vAlign w:val="center"/>
          </w:tcPr>
          <w:p>
            <w:pPr>
              <w:spacing w:before="30" w:after="30"/>
              <w:jc w:val="left"/>
              <w:rPr>
                <w:rFonts w:ascii="Arial" w:hAnsi="Arial" w:cs="Arial"/>
                <w:sz w:val="20"/>
                <w:szCs w:val="20"/>
              </w:rPr>
            </w:pPr>
            <w:r>
              <w:rPr>
                <w:rFonts w:ascii="Arial" w:hAnsi="Arial" w:cs="Arial"/>
                <w:sz w:val="20"/>
                <w:szCs w:val="20"/>
              </w:rPr>
              <w:t xml:space="preserve">01 Jul 2026</w:t>
            </w:r>
          </w:p>
        </w:tc>
        <w:tc>
          <w:tcPr>
            <w:tcW w:w="6964" w:type="dxa"/>
            <w:vAlign w:val="center"/>
          </w:tcPr>
          <w:p>
            <w:pPr>
              <w:spacing w:before="30" w:after="30"/>
              <w:jc w:val="left"/>
              <w:rPr>
                <w:rFonts w:ascii="Arial" w:hAnsi="Arial" w:cs="Arial"/>
                <w:sz w:val="20"/>
                <w:szCs w:val="20"/>
              </w:rPr>
            </w:pPr>
            <w:r>
              <w:rPr>
                <w:rFonts w:ascii="Arial" w:hAnsi="Arial" w:cs="Arial"/>
                <w:sz w:val="20"/>
                <w:szCs w:val="20"/>
              </w:rPr>
              <w:t xml:space="preserve">Initial issue aligned to ISO 9001:2026 for food contact packaging manufacturing</w:t>
            </w:r>
          </w:p>
        </w:tc>
        <w:tc>
          <w:tcPr>
            <w:tcW w:w="2725" w:type="dxa"/>
            <w:vAlign w:val="center"/>
          </w:tcPr>
          <w:p>
            <w:pPr>
              <w:spacing w:before="30" w:after="30"/>
              <w:jc w:val="left"/>
              <w:rPr>
                <w:rFonts w:ascii="Arial" w:hAnsi="Arial" w:cs="Arial"/>
                <w:sz w:val="20"/>
                <w:szCs w:val="20"/>
              </w:rPr>
            </w:pPr>
            <w:r>
              <w:rPr>
                <w:rFonts w:ascii="Arial" w:hAnsi="Arial" w:cs="Arial"/>
                <w:sz w:val="20"/>
                <w:szCs w:val="20"/>
              </w:rPr>
              <w:t xml:space="preserve">ASC Food Safety Consultants</w:t>
            </w:r>
          </w:p>
        </w:tc>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Quality Manager (QMR)</w:t>
            </w:r>
          </w:p>
        </w:tc>
      </w:tr>
      <w:tr>
        <w:tc>
          <w:tcPr>
            <w:tcW w:w="908" w:type="dxa"/>
            <w:vAlign w:val="center"/>
          </w:tcPr>
          <w:p>
            <w:pPr>
              <w:spacing w:before="30" w:after="30"/>
              <w:jc w:val="left"/>
              <w:rPr>
                <w:rFonts w:ascii="Arial" w:hAnsi="Arial" w:cs="Arial"/>
                <w:sz w:val="20"/>
                <w:szCs w:val="20"/>
              </w:rPr>
            </w:pPr>
            <w:r>
              <w:rPr>
                <w:rFonts w:ascii="Arial" w:hAnsi="Arial" w:cs="Arial"/>
                <w:sz w:val="20"/>
                <w:szCs w:val="20"/>
              </w:rPr>
              <w:t xml:space="preserve">01</w:t>
            </w:r>
          </w:p>
        </w:tc>
        <w:tc>
          <w:tcPr>
            <w:tcW w:w="1817" w:type="dxa"/>
            <w:vAlign w:val="center"/>
          </w:tcPr>
          <w:p>
            <w:pPr>
              <w:spacing w:before="30" w:after="30"/>
              <w:jc w:val="left"/>
              <w:rPr>
                <w:rFonts w:ascii="Arial" w:hAnsi="Arial" w:cs="Arial"/>
                <w:sz w:val="20"/>
                <w:szCs w:val="20"/>
              </w:rPr>
            </w:pPr>
            <w:r>
              <w:rPr>
                <w:rFonts w:ascii="Arial" w:hAnsi="Arial" w:cs="Arial"/>
                <w:sz w:val="20"/>
                <w:szCs w:val="20"/>
              </w:rPr>
              <w:t xml:space="preserve">01 Sep 2026</w:t>
            </w:r>
          </w:p>
        </w:tc>
        <w:tc>
          <w:tcPr>
            <w:tcW w:w="6964" w:type="dxa"/>
            <w:vAlign w:val="center"/>
          </w:tcPr>
          <w:p>
            <w:pPr>
              <w:spacing w:before="30" w:after="30"/>
              <w:jc w:val="left"/>
              <w:rPr>
                <w:rFonts w:ascii="Arial" w:hAnsi="Arial" w:cs="Arial"/>
                <w:sz w:val="20"/>
                <w:szCs w:val="20"/>
              </w:rPr>
            </w:pPr>
            <w:r>
              <w:rPr>
                <w:rFonts w:ascii="Arial" w:hAnsi="Arial" w:cs="Arial"/>
                <w:sz w:val="20"/>
                <w:szCs w:val="20"/>
              </w:rPr>
              <w:t xml:space="preserve">Issued into the ISO 9001:2026 Packaging Quality Toolkit with references, responsibilities and records sections complete</w:t>
            </w:r>
          </w:p>
        </w:tc>
        <w:tc>
          <w:tcPr>
            <w:tcW w:w="2725" w:type="dxa"/>
            <w:vAlign w:val="center"/>
          </w:tcPr>
          <w:p>
            <w:pPr>
              <w:spacing w:before="30" w:after="30"/>
              <w:jc w:val="left"/>
              <w:rPr>
                <w:rFonts w:ascii="Arial" w:hAnsi="Arial" w:cs="Arial"/>
                <w:sz w:val="20"/>
                <w:szCs w:val="20"/>
              </w:rPr>
            </w:pPr>
            <w:r>
              <w:rPr>
                <w:rFonts w:ascii="Arial" w:hAnsi="Arial" w:cs="Arial"/>
                <w:sz w:val="20"/>
                <w:szCs w:val="20"/>
              </w:rPr>
              <w:t xml:space="preserve">ASC Food Safety Consultants</w:t>
            </w:r>
          </w:p>
        </w:tc>
        <w:tc>
          <w:tcPr>
            <w:tcW w:w="2726" w:type="dxa"/>
            <w:vAlign w:val="center"/>
          </w:tcPr>
          <w:p>
            <w:pPr>
              <w:spacing w:before="30" w:after="30"/>
              <w:jc w:val="left"/>
              <w:rPr>
                <w:rFonts w:ascii="Arial" w:hAnsi="Arial" w:cs="Arial"/>
                <w:sz w:val="20"/>
                <w:szCs w:val="20"/>
              </w:rPr>
            </w:pPr>
            <w:r>
              <w:rPr>
                <w:rFonts w:ascii="Arial" w:hAnsi="Arial" w:cs="Arial"/>
                <w:sz w:val="20"/>
                <w:szCs w:val="20"/>
              </w:rPr>
              <w:t xml:space="preserve">Quality Manager (QMR)</w:t>
            </w:r>
          </w:p>
        </w:tc>
      </w:tr>
    </w:tbl>
    <w:p>
      <w:pPr>
        <w:spacing w:before="0" w:after="120"/>
      </w:pPr>
    </w:p>
    <w:p>
      <w:pPr>
        <w:pStyle w:val="Heading"/>
      </w:pPr>
      <w:r>
        <w:rPr>
          <w:rFonts w:ascii="Arial" w:hAnsi="Arial" w:cs="Arial"/>
          <w:b/>
          <w:bCs/>
          <w:sz w:val="24"/>
          <w:szCs w:val="24"/>
        </w:rPr>
        <w:t xml:space="preserve">11.	APPROVAL</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6056"/>
        <w:gridCol w:w="3634"/>
        <w:gridCol w:w="3331"/>
        <w:gridCol w:w="2119"/>
      </w:tblGrid>
      <w:tr>
        <w:trPr>
          <w:tblHeader/>
          <w:cantSplit/>
        </w:trPr>
        <w:tc>
          <w:tcPr>
            <w:tcW w:w="605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Role</w:t>
            </w:r>
          </w:p>
        </w:tc>
        <w:tc>
          <w:tcPr>
            <w:tcW w:w="363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Name</w:t>
            </w:r>
          </w:p>
        </w:tc>
        <w:tc>
          <w:tcPr>
            <w:tcW w:w="3331"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Signature</w:t>
            </w:r>
          </w:p>
        </w:tc>
        <w:tc>
          <w:tcPr>
            <w:tcW w:w="2119"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Date</w:t>
            </w:r>
          </w:p>
        </w:tc>
      </w:tr>
      <w:tr>
        <w:tc>
          <w:tcPr>
            <w:tcW w:w="6056" w:type="dxa"/>
            <w:vAlign w:val="center"/>
          </w:tcPr>
          <w:p>
            <w:pPr>
              <w:spacing w:before="30" w:after="30"/>
              <w:jc w:val="left"/>
              <w:rPr>
                <w:rFonts w:ascii="Arial" w:hAnsi="Arial" w:cs="Arial"/>
                <w:sz w:val="20"/>
                <w:szCs w:val="20"/>
              </w:rPr>
            </w:pPr>
            <w:r>
              <w:rPr>
                <w:rFonts w:ascii="Arial" w:hAnsi="Arial" w:cs="Arial"/>
                <w:sz w:val="20"/>
                <w:szCs w:val="20"/>
              </w:rPr>
              <w:t xml:space="preserve">Prepared by - ASC Food Safety Consultants</w:t>
            </w:r>
          </w:p>
        </w:tc>
        <w:tc>
          <w:tcPr>
            <w:tcW w:w="3634"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3331"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119" w:type="dxa"/>
            <w:vAlign w:val="center"/>
          </w:tcPr>
          <w:p>
            <w:pPr>
              <w:spacing w:before="30" w:after="30"/>
              <w:jc w:val="left"/>
              <w:rPr>
                <w:rFonts w:ascii="Arial" w:hAnsi="Arial" w:cs="Arial"/>
                <w:sz w:val="20"/>
                <w:szCs w:val="20"/>
              </w:rPr>
            </w:pPr>
            <w:r>
              <w:rPr>
                <w:rFonts w:ascii="Arial" w:hAnsi="Arial" w:cs="Arial"/>
                <w:sz w:val="20"/>
                <w:szCs w:val="20"/>
              </w:rPr>
              <w:t xml:space="preserve"/>
            </w:r>
          </w:p>
        </w:tc>
      </w:tr>
      <w:tr>
        <w:tc>
          <w:tcPr>
            <w:tcW w:w="6056" w:type="dxa"/>
            <w:vAlign w:val="center"/>
          </w:tcPr>
          <w:p>
            <w:pPr>
              <w:spacing w:before="30" w:after="30"/>
              <w:jc w:val="left"/>
              <w:rPr>
                <w:rFonts w:ascii="Arial" w:hAnsi="Arial" w:cs="Arial"/>
                <w:sz w:val="20"/>
                <w:szCs w:val="20"/>
              </w:rPr>
            </w:pPr>
            <w:r>
              <w:rPr>
                <w:rFonts w:ascii="Arial" w:hAnsi="Arial" w:cs="Arial"/>
                <w:sz w:val="20"/>
                <w:szCs w:val="20"/>
              </w:rPr>
              <w:t xml:space="preserve">Reviewed by - Process owner named in the control table above</w:t>
            </w:r>
          </w:p>
        </w:tc>
        <w:tc>
          <w:tcPr>
            <w:tcW w:w="3634"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3331"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119" w:type="dxa"/>
            <w:vAlign w:val="center"/>
          </w:tcPr>
          <w:p>
            <w:pPr>
              <w:spacing w:before="30" w:after="30"/>
              <w:jc w:val="left"/>
              <w:rPr>
                <w:rFonts w:ascii="Arial" w:hAnsi="Arial" w:cs="Arial"/>
                <w:sz w:val="20"/>
                <w:szCs w:val="20"/>
              </w:rPr>
            </w:pPr>
            <w:r>
              <w:rPr>
                <w:rFonts w:ascii="Arial" w:hAnsi="Arial" w:cs="Arial"/>
                <w:sz w:val="20"/>
                <w:szCs w:val="20"/>
              </w:rPr>
              <w:t xml:space="preserve"/>
            </w:r>
          </w:p>
        </w:tc>
      </w:tr>
      <w:tr>
        <w:tc>
          <w:tcPr>
            <w:tcW w:w="6056" w:type="dxa"/>
            <w:vAlign w:val="center"/>
          </w:tcPr>
          <w:p>
            <w:pPr>
              <w:spacing w:before="30" w:after="30"/>
              <w:jc w:val="left"/>
              <w:rPr>
                <w:rFonts w:ascii="Arial" w:hAnsi="Arial" w:cs="Arial"/>
                <w:sz w:val="20"/>
                <w:szCs w:val="20"/>
              </w:rPr>
            </w:pPr>
            <w:r>
              <w:rPr>
                <w:rFonts w:ascii="Arial" w:hAnsi="Arial" w:cs="Arial"/>
                <w:sz w:val="20"/>
                <w:szCs w:val="20"/>
              </w:rPr>
              <w:t xml:space="preserve">Approved by - Quality Manager (QMR)</w:t>
            </w:r>
          </w:p>
        </w:tc>
        <w:tc>
          <w:tcPr>
            <w:tcW w:w="3634"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3331"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119" w:type="dxa"/>
            <w:vAlign w:val="center"/>
          </w:tcPr>
          <w:p>
            <w:pPr>
              <w:spacing w:before="30" w:after="30"/>
              <w:jc w:val="left"/>
              <w:rPr>
                <w:rFonts w:ascii="Arial" w:hAnsi="Arial" w:cs="Arial"/>
                <w:sz w:val="20"/>
                <w:szCs w:val="20"/>
              </w:rPr>
            </w:pPr>
            <w:r>
              <w:rPr>
                <w:rFonts w:ascii="Arial" w:hAnsi="Arial" w:cs="Arial"/>
                <w:sz w:val="20"/>
                <w:szCs w:val="20"/>
              </w:rPr>
              <w:t xml:space="preserve"/>
            </w:r>
          </w:p>
        </w:tc>
      </w:tr>
    </w:tbl>
    <w:p>
      <w:pPr>
        <w:spacing w:before="0" w:after="120"/>
      </w:pPr>
    </w:p>
    <w:sectPr w:rsidR="0047338B" w:rsidRPr="00996343" w:rsidSect="003A7945">
      <w:headerReference w:type="default" r:id="rId8"/>
      <w:type w:val="continuous"/>
      <w:pgSz w:w="16840" w:h="11907" w:code="9" w:orient="landscape"/>
      <w:pgMar w:top="567" w:right="850" w:bottom="567" w:left="850" w:header="567" w:footer="284" w:gutter="28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3E41D" w14:textId="77777777" w:rsidR="004356C6" w:rsidRDefault="004356C6" w:rsidP="00AA32BC">
      <w:r>
        <w:separator/>
      </w:r>
    </w:p>
  </w:endnote>
  <w:endnote w:type="continuationSeparator" w:id="0">
    <w:p w14:paraId="5D18E954" w14:textId="77777777" w:rsidR="004356C6" w:rsidRDefault="004356C6" w:rsidP="00AA3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0998C" w14:textId="77777777" w:rsidR="004356C6" w:rsidRDefault="004356C6" w:rsidP="00AA32BC">
      <w:r>
        <w:separator/>
      </w:r>
    </w:p>
  </w:footnote>
  <w:footnote w:type="continuationSeparator" w:id="0">
    <w:p w14:paraId="16D9DF7C" w14:textId="77777777" w:rsidR="004356C6" w:rsidRDefault="004356C6" w:rsidP="00AA3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8"/>
      <w:gridCol w:w="5528"/>
      <w:gridCol w:w="4094"/>
      <w:gridCol w:w="2251"/>
    </w:tblGrid>
    <w:tr w:rsidR="00871814" w:rsidRPr="00871814" w14:paraId="02C9E39E" w14:textId="77777777" w:rsidTr="009F616E">
      <w:trPr>
        <w:cantSplit/>
        <w:trHeight w:hRule="atLeast" w:val="1077"/>
      </w:trPr>
      <w:tc>
        <w:tcPr>
          <w:tcW w:w="3268" w:type="dxa"/>
          <w:shd w:val="clear" w:color="auto" w:fill="FFFFFF"/>
          <w:vAlign w:val="center"/>
          <w:hideMark/>
        </w:tcPr>
        <w:p w14:paraId="58AA9BC5" w14:textId="77777777" w:rsidR="00871814" w:rsidRPr="00871814" w:rsidRDefault="00871814" w:rsidP="00871814">
          <w:pPr>
            <w:keepNext/>
            <w:suppressAutoHyphens/>
            <w:spacing w:before="60" w:after="60"/>
            <w:jc w:val="center"/>
            <w:outlineLvl w:val="0"/>
            <w:rPr>
              <w:rFonts w:ascii="Arial" w:hAnsi="Arial" w:cs="Arial"/>
              <w:b/>
              <w:caps/>
              <w:kern w:val="28"/>
              <w:sz w:val="22"/>
              <w:szCs w:val="22"/>
            </w:rPr>
          </w:pPr>
          <w:bookmarkStart w:id="0" w:name="_Hlk86315428"/>
          <w:r w:rsidRPr="00871814">
            <w:rPr>
              <w:rFonts w:ascii="Arial" w:hAnsi="Arial" w:cs="Arial"/>
              <w:b/>
              <w:caps/>
              <w:kern w:val="28"/>
              <w:sz w:val="22"/>
              <w:szCs w:val="22"/>
            </w:rPr>
            <w:t>LOGO</w:t>
          </w:r>
        </w:p>
      </w:tc>
      <w:tc>
        <w:tcPr>
          <w:tcW w:w="5528" w:type="dxa"/>
          <w:shd w:val="clear" w:color="auto" w:fill="FFFFFF"/>
          <w:vAlign w:val="center"/>
          <w:hideMark/>
        </w:tcPr>
        <w:p w14:paraId="2426B2E7" w14:textId="77777777" w:rsidR="00871814" w:rsidRPr="00871814" w:rsidRDefault="00871814" w:rsidP="00871814">
          <w:pPr>
            <w:keepNext/>
            <w:spacing w:before="120" w:after="240"/>
            <w:jc w:val="center"/>
            <w:outlineLvl w:val="0"/>
            <w:rPr>
              <w:rFonts w:ascii="Arial" w:hAnsi="Arial" w:cs="Arial"/>
              <w:b/>
              <w:i/>
              <w:iCs/>
              <w:sz w:val="22"/>
              <w:szCs w:val="22"/>
            </w:rPr>
          </w:pPr>
          <w:r w:rsidRPr="00871814">
            <w:rPr>
              <w:rFonts w:ascii="Arial" w:hAnsi="Arial" w:cs="Arial"/>
              <w:b/>
              <w:i/>
              <w:iCs/>
              <w:sz w:val="22"/>
              <w:szCs w:val="22"/>
            </w:rPr>
            <w:t>[COMPANY NAME]</w:t>
          </w:r>
        </w:p>
        <w:p w14:paraId="7BAA15B1" w14:textId="77777777" w:rsidR="00871814" w:rsidRPr="00871814" w:rsidRDefault="00871814" w:rsidP="00871814">
          <w:pPr>
            <w:keepNext/>
            <w:suppressAutoHyphens/>
            <w:spacing w:before="60" w:after="60"/>
            <w:jc w:val="center"/>
            <w:outlineLvl w:val="0"/>
            <w:rPr>
              <w:rFonts w:ascii="Arial" w:hAnsi="Arial" w:cs="Arial"/>
              <w:b/>
              <w:bCs/>
              <w:sz w:val="22"/>
              <w:szCs w:val="22"/>
            </w:rPr>
          </w:pPr>
          <w:r w:rsidRPr="00871814">
            <w:rPr>
              <w:rFonts w:ascii="Arial" w:hAnsi="Arial" w:cs="Arial"/>
              <w:b/>
              <w:sz w:val="22"/>
              <w:szCs w:val="22"/>
            </w:rPr>
            <w:t>Quality Management System</w:t>
          </w:r>
        </w:p>
      </w:tc>
      <w:tc>
        <w:tcPr>
          <w:tcW w:w="4094" w:type="dxa"/>
          <w:vAlign w:val="center"/>
          <w:hideMark/>
        </w:tcPr>
        <w:p w14:paraId="470F15F8" w14:textId="4CF7E815" w:rsidR="00871814" w:rsidRPr="00871814" w:rsidRDefault="00871814" w:rsidP="00871814">
          <w:pPr>
            <w:keepNext/>
            <w:suppressAutoHyphens/>
            <w:spacing w:before="60" w:after="60"/>
            <w:outlineLvl w:val="0"/>
            <w:rPr>
              <w:rFonts w:ascii="Arial" w:hAnsi="Arial" w:cs="Arial"/>
              <w:sz w:val="22"/>
              <w:szCs w:val="22"/>
            </w:rPr>
          </w:pPr>
          <w:r w:rsidRPr="00871814">
            <w:rPr>
              <w:rFonts w:ascii="Arial" w:hAnsi="Arial" w:cs="Arial"/>
              <w:b/>
              <w:bCs/>
              <w:sz w:val="22"/>
              <w:szCs w:val="22"/>
            </w:rPr>
            <w:t>Doc No: SAMPLE CL 02</w:t>
          </w:r>
          <w:r w:rsidRPr="00871814">
            <w:rPr>
              <w:rFonts w:ascii="Arial" w:hAnsi="Arial" w:cs="Arial"/>
              <w:sz w:val="22"/>
              <w:szCs w:val="22"/>
            </w:rPr>
          </w:r>
          <w:r>
            <w:rPr>
              <w:rFonts w:ascii="Arial" w:hAnsi="Arial" w:cs="Arial"/>
              <w:sz w:val="22"/>
              <w:szCs w:val="22"/>
            </w:rPr>
          </w:r>
        </w:p>
      </w:tc>
      <w:tc>
        <w:tcPr>
          <w:tcW w:w="2251" w:type="dxa"/>
          <w:vAlign w:val="center"/>
        </w:tcPr>
        <w:p w14:paraId="28CAAFE0" w14:textId="77777777" w:rsidR="00871814" w:rsidRPr="00871814" w:rsidRDefault="00871814" w:rsidP="00871814">
          <w:pPr>
            <w:keepNext/>
            <w:suppressAutoHyphens/>
            <w:spacing w:before="60" w:after="60"/>
            <w:outlineLvl w:val="0"/>
            <w:rPr>
              <w:rFonts w:ascii="Arial" w:hAnsi="Arial" w:cs="Arial"/>
              <w:sz w:val="22"/>
              <w:szCs w:val="22"/>
            </w:rPr>
          </w:pPr>
          <w:r w:rsidRPr="00871814">
            <w:rPr>
              <w:rFonts w:ascii="Arial" w:hAnsi="Arial" w:cs="Arial"/>
              <w:sz w:val="22"/>
              <w:szCs w:val="22"/>
            </w:rPr>
            <w:t xml:space="preserve">Page </w:t>
          </w:r>
          <w:r w:rsidRPr="00871814">
            <w:rPr>
              <w:rFonts w:ascii="Arial" w:hAnsi="Arial" w:cs="Arial"/>
              <w:noProof/>
              <w:sz w:val="22"/>
              <w:szCs w:val="22"/>
            </w:rPr>
            <w:fldChar w:fldCharType="begin"/>
          </w:r>
          <w:r w:rsidRPr="00871814">
            <w:rPr>
              <w:rFonts w:ascii="Arial" w:hAnsi="Arial" w:cs="Arial"/>
              <w:noProof/>
              <w:sz w:val="22"/>
              <w:szCs w:val="22"/>
            </w:rPr>
            <w:instrText xml:space="preserve"> PAGE </w:instrText>
          </w:r>
          <w:r w:rsidRPr="00871814">
            <w:rPr>
              <w:rFonts w:ascii="Arial" w:hAnsi="Arial" w:cs="Arial"/>
              <w:noProof/>
              <w:sz w:val="22"/>
              <w:szCs w:val="22"/>
            </w:rPr>
            <w:fldChar w:fldCharType="separate"/>
          </w:r>
          <w:r w:rsidRPr="00871814">
            <w:rPr>
              <w:rFonts w:ascii="Arial" w:hAnsi="Arial" w:cs="Arial"/>
              <w:noProof/>
              <w:sz w:val="22"/>
              <w:szCs w:val="22"/>
            </w:rPr>
            <w:t>3</w:t>
          </w:r>
          <w:r w:rsidRPr="00871814">
            <w:rPr>
              <w:rFonts w:ascii="Arial" w:hAnsi="Arial" w:cs="Arial"/>
              <w:noProof/>
              <w:sz w:val="22"/>
              <w:szCs w:val="22"/>
            </w:rPr>
            <w:fldChar w:fldCharType="end"/>
          </w:r>
          <w:r w:rsidRPr="00871814">
            <w:rPr>
              <w:rFonts w:ascii="Arial" w:hAnsi="Arial" w:cs="Arial"/>
              <w:sz w:val="22"/>
              <w:szCs w:val="22"/>
            </w:rPr>
            <w:t xml:space="preserve"> of </w:t>
          </w:r>
          <w:r w:rsidRPr="00871814">
            <w:rPr>
              <w:rFonts w:ascii="Arial" w:hAnsi="Arial" w:cs="Arial"/>
              <w:noProof/>
              <w:sz w:val="22"/>
              <w:szCs w:val="22"/>
            </w:rPr>
            <w:fldChar w:fldCharType="begin"/>
          </w:r>
          <w:r w:rsidRPr="00871814">
            <w:rPr>
              <w:rFonts w:ascii="Arial" w:hAnsi="Arial" w:cs="Arial"/>
              <w:noProof/>
              <w:sz w:val="22"/>
              <w:szCs w:val="22"/>
            </w:rPr>
            <w:instrText xml:space="preserve"> NUMPAGES  </w:instrText>
          </w:r>
          <w:r w:rsidRPr="00871814">
            <w:rPr>
              <w:rFonts w:ascii="Arial" w:hAnsi="Arial" w:cs="Arial"/>
              <w:noProof/>
              <w:sz w:val="22"/>
              <w:szCs w:val="22"/>
            </w:rPr>
            <w:fldChar w:fldCharType="separate"/>
          </w:r>
          <w:r w:rsidRPr="00871814">
            <w:rPr>
              <w:rFonts w:ascii="Arial" w:hAnsi="Arial" w:cs="Arial"/>
              <w:noProof/>
              <w:sz w:val="22"/>
              <w:szCs w:val="22"/>
            </w:rPr>
            <w:t>40</w:t>
          </w:r>
          <w:r w:rsidRPr="00871814">
            <w:rPr>
              <w:rFonts w:ascii="Arial" w:hAnsi="Arial" w:cs="Arial"/>
              <w:noProof/>
              <w:sz w:val="22"/>
              <w:szCs w:val="22"/>
            </w:rPr>
            <w:fldChar w:fldCharType="end"/>
          </w:r>
        </w:p>
      </w:tc>
    </w:tr>
    <w:tr w:rsidR="00871814" w:rsidRPr="00871814" w14:paraId="797FE9DF" w14:textId="77777777" w:rsidTr="00E23946">
      <w:trPr>
        <w:cantSplit/>
        <w:trHeight w:val="397"/>
      </w:trPr>
      <w:tc>
        <w:tcPr>
          <w:tcW w:w="15140" w:type="dxa"/>
          <w:gridSpan w:val="4"/>
          <w:vAlign w:val="center"/>
          <w:hideMark/>
        </w:tcPr>
        <w:p w14:paraId="162DE391" w14:textId="2EFC9BDF" w:rsidR="00871814" w:rsidRPr="00871814" w:rsidRDefault="00871814" w:rsidP="00871814">
          <w:pPr>
            <w:keepNext/>
            <w:suppressAutoHyphens/>
            <w:spacing w:before="60" w:after="60"/>
            <w:outlineLvl w:val="1"/>
            <w:rPr>
              <w:rFonts w:ascii="Arial" w:hAnsi="Arial" w:cs="Arial"/>
              <w:sz w:val="22"/>
              <w:szCs w:val="22"/>
            </w:rPr>
          </w:pPr>
          <w:r w:rsidRPr="00871814">
            <w:rPr>
              <w:rFonts w:ascii="Arial" w:hAnsi="Arial" w:cs="Arial"/>
              <w:b/>
              <w:bCs/>
              <w:sz w:val="22"/>
              <w:szCs w:val="22"/>
            </w:rPr>
            <w:t>Subject: Integration Matrix ISO 9001 ISO 22000 FSSC 22000   -   SAMPLE, NOT FOR USE IN A LIVE SYSTEM</w:t>
          </w:r>
          <w:r w:rsidRPr="00871814">
            <w:rPr>
              <w:rFonts w:ascii="Arial" w:hAnsi="Arial" w:cs="Arial"/>
              <w:sz w:val="22"/>
              <w:szCs w:val="22"/>
            </w:rPr>
          </w:r>
          <w:r w:rsidRPr="00871814">
            <w:rPr>
              <w:rFonts w:ascii="Arial" w:hAnsi="Arial" w:cs="Arial"/>
              <w:sz w:val="22"/>
              <w:szCs w:val="22"/>
              <w:lang w:val="en-GB"/>
            </w:rPr>
          </w:r>
        </w:p>
      </w:tc>
    </w:tr>
    <w:tr w:rsidR="00871814" w:rsidRPr="00871814" w14:paraId="309A7B80" w14:textId="77777777" w:rsidTr="009F616E">
      <w:trPr>
        <w:cantSplit/>
        <w:trHeight w:hRule="atLeast" w:val="624"/>
      </w:trPr>
      <w:tc>
        <w:tcPr>
          <w:tcW w:w="3268" w:type="dxa"/>
          <w:vAlign w:val="center"/>
          <w:hideMark/>
        </w:tcPr>
        <w:p w14:paraId="3B3C09B2" w14:textId="77777777" w:rsidR="00871814" w:rsidRPr="00871814" w:rsidRDefault="00871814" w:rsidP="00871814">
          <w:pPr>
            <w:keepNext/>
            <w:suppressAutoHyphens/>
            <w:spacing w:before="60" w:after="60"/>
            <w:outlineLvl w:val="2"/>
            <w:rPr>
              <w:rFonts w:ascii="Arial" w:hAnsi="Arial" w:cs="Arial"/>
              <w:bCs/>
              <w:sz w:val="22"/>
              <w:szCs w:val="22"/>
            </w:rPr>
          </w:pPr>
          <w:r w:rsidRPr="00871814">
            <w:rPr>
              <w:rFonts w:ascii="Arial" w:hAnsi="Arial" w:cs="Arial"/>
              <w:b/>
              <w:bCs/>
              <w:sz w:val="22"/>
              <w:szCs w:val="22"/>
            </w:rPr>
            <w:t>Compiled by: ASC Food Safety Consultants</w:t>
          </w:r>
          <w:r w:rsidRPr="00871814">
            <w:rPr>
              <w:rFonts w:ascii="Arial" w:hAnsi="Arial" w:cs="Arial"/>
              <w:sz w:val="22"/>
              <w:szCs w:val="22"/>
            </w:rPr>
          </w:r>
        </w:p>
      </w:tc>
      <w:tc>
        <w:tcPr>
          <w:tcW w:w="5528" w:type="dxa"/>
          <w:vAlign w:val="center"/>
          <w:hideMark/>
        </w:tcPr>
        <w:p w14:paraId="094CCAE8" w14:textId="77777777" w:rsidR="00871814" w:rsidRPr="00871814" w:rsidRDefault="00871814" w:rsidP="00871814">
          <w:pPr>
            <w:keepNext/>
            <w:suppressAutoHyphens/>
            <w:spacing w:before="60" w:after="60"/>
            <w:outlineLvl w:val="2"/>
            <w:rPr>
              <w:rFonts w:ascii="Arial" w:hAnsi="Arial" w:cs="Arial"/>
              <w:sz w:val="22"/>
              <w:szCs w:val="22"/>
            </w:rPr>
          </w:pPr>
          <w:r w:rsidRPr="00871814">
            <w:rPr>
              <w:rFonts w:ascii="Arial" w:hAnsi="Arial" w:cs="Arial"/>
              <w:b/>
              <w:bCs/>
              <w:sz w:val="22"/>
              <w:szCs w:val="22"/>
            </w:rPr>
            <w:t>Approved by: Quality Manager (QMR)</w:t>
          </w:r>
          <w:r w:rsidRPr="00871814">
            <w:rPr>
              <w:rFonts w:ascii="Arial" w:hAnsi="Arial" w:cs="Arial"/>
              <w:sz w:val="22"/>
              <w:szCs w:val="22"/>
            </w:rPr>
          </w:r>
          <w:r w:rsidRPr="00871814">
            <w:rPr>
              <w:rFonts w:ascii="Arial" w:hAnsi="Arial" w:cs="Arial"/>
              <w:b/>
              <w:bCs/>
              <w:sz w:val="22"/>
              <w:szCs w:val="22"/>
            </w:rPr>
          </w:r>
          <w:r w:rsidRPr="00871814">
            <w:rPr>
              <w:rFonts w:ascii="Arial" w:hAnsi="Arial" w:cs="Arial"/>
              <w:sz w:val="22"/>
              <w:szCs w:val="22"/>
            </w:rPr>
          </w:r>
        </w:p>
      </w:tc>
      <w:tc>
        <w:tcPr>
          <w:tcW w:w="4094" w:type="dxa"/>
          <w:vAlign w:val="center"/>
          <w:hideMark/>
        </w:tcPr>
        <w:p w14:paraId="6210E691" w14:textId="0CF8BC7B" w:rsidR="00871814" w:rsidRPr="00871814" w:rsidRDefault="00871814" w:rsidP="00871814">
          <w:pPr>
            <w:keepNext/>
            <w:suppressAutoHyphens/>
            <w:spacing w:before="60" w:after="60"/>
            <w:outlineLvl w:val="2"/>
            <w:rPr>
              <w:rFonts w:ascii="Arial" w:hAnsi="Arial" w:cs="Arial"/>
              <w:bCs/>
              <w:sz w:val="22"/>
              <w:szCs w:val="22"/>
            </w:rPr>
          </w:pPr>
          <w:r w:rsidRPr="00871814">
            <w:rPr>
              <w:rFonts w:ascii="Arial" w:hAnsi="Arial" w:cs="Arial"/>
              <w:b/>
              <w:bCs/>
              <w:sz w:val="22"/>
              <w:szCs w:val="22"/>
            </w:rPr>
            <w:t>Date: 01 Sep 2026</w:t>
          </w:r>
          <w:r w:rsidRPr="00871814">
            <w:rPr>
              <w:rFonts w:ascii="Arial" w:hAnsi="Arial" w:cs="Arial"/>
              <w:sz w:val="22"/>
              <w:szCs w:val="22"/>
            </w:rPr>
          </w:r>
          <w:r w:rsidR="009F616E" w:rsidRPr="009F616E">
            <w:rPr>
              <w:rFonts w:ascii="Arial" w:hAnsi="Arial" w:cs="Arial"/>
              <w:sz w:val="22"/>
              <w:szCs w:val="22"/>
            </w:rPr>
          </w:r>
        </w:p>
      </w:tc>
      <w:tc>
        <w:tcPr>
          <w:tcW w:w="2251" w:type="dxa"/>
          <w:vAlign w:val="center"/>
        </w:tcPr>
        <w:p w14:paraId="3D6A4309" w14:textId="16BFD09B" w:rsidR="00871814" w:rsidRPr="00871814" w:rsidRDefault="00871814" w:rsidP="00871814">
          <w:pPr>
            <w:keepNext/>
            <w:suppressAutoHyphens/>
            <w:spacing w:before="60" w:after="60"/>
            <w:outlineLvl w:val="2"/>
            <w:rPr>
              <w:rFonts w:ascii="Arial" w:hAnsi="Arial" w:cs="Arial"/>
              <w:bCs/>
              <w:sz w:val="22"/>
              <w:szCs w:val="22"/>
            </w:rPr>
          </w:pPr>
          <w:r w:rsidRPr="00871814">
            <w:rPr>
              <w:rFonts w:ascii="Arial" w:hAnsi="Arial" w:cs="Arial"/>
              <w:b/>
              <w:sz w:val="22"/>
              <w:szCs w:val="22"/>
            </w:rPr>
            <w:t>Rev no: 01</w:t>
          </w:r>
          <w:r w:rsidRPr="00871814">
            <w:rPr>
              <w:rFonts w:ascii="Arial" w:hAnsi="Arial" w:cs="Arial"/>
              <w:bCs/>
              <w:sz w:val="22"/>
              <w:szCs w:val="22"/>
            </w:rPr>
          </w:r>
          <w:r w:rsidR="009F616E">
            <w:rPr>
              <w:rFonts w:ascii="Arial" w:hAnsi="Arial" w:cs="Arial"/>
              <w:bCs/>
              <w:sz w:val="22"/>
              <w:szCs w:val="22"/>
            </w:rPr>
          </w:r>
        </w:p>
      </w:tc>
    </w:tr>
    <w:bookmarkEnd w:id="0"/>
  </w:tbl>
  <w:p w14:paraId="74FE866C" w14:textId="77777777" w:rsidR="00871814" w:rsidRDefault="00871814" w:rsidP="00871814">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B0E8D"/>
    <w:multiLevelType w:val="multilevel"/>
    <w:tmpl w:val="B872735C"/>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 w15:restartNumberingAfterBreak="0">
    <w:nsid w:val="10914442"/>
    <w:multiLevelType w:val="multilevel"/>
    <w:tmpl w:val="94F28688"/>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2" w15:restartNumberingAfterBreak="0">
    <w:nsid w:val="3EB60317"/>
    <w:multiLevelType w:val="multilevel"/>
    <w:tmpl w:val="E064FC18"/>
    <w:lvl w:ilvl="0">
      <w:start w:val="1"/>
      <w:numFmt w:val="bullet"/>
      <w:lvlText w:val=""/>
      <w:lvlJc w:val="left"/>
      <w:pPr>
        <w:ind w:left="1778" w:hanging="360"/>
      </w:pPr>
      <w:rPr>
        <w:rFonts w:ascii="Symbol" w:hAnsi="Symbol" w:hint="default"/>
      </w:rPr>
    </w:lvl>
    <w:lvl w:ilvl="1">
      <w:start w:val="5"/>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3" w15:restartNumberingAfterBreak="0">
    <w:nsid w:val="54DD7576"/>
    <w:multiLevelType w:val="multilevel"/>
    <w:tmpl w:val="B872735C"/>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4" w15:restartNumberingAfterBreak="0">
    <w:nsid w:val="58201A22"/>
    <w:multiLevelType w:val="multilevel"/>
    <w:tmpl w:val="94F28688"/>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5" w15:restartNumberingAfterBreak="0">
    <w:nsid w:val="64206664"/>
    <w:multiLevelType w:val="multilevel"/>
    <w:tmpl w:val="94F28688"/>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6" w15:restartNumberingAfterBreak="0">
    <w:nsid w:val="6812594D"/>
    <w:multiLevelType w:val="multilevel"/>
    <w:tmpl w:val="B872735C"/>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7" w15:restartNumberingAfterBreak="0">
    <w:nsid w:val="75C84540"/>
    <w:multiLevelType w:val="multilevel"/>
    <w:tmpl w:val="E9A26A2E"/>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8" w15:restartNumberingAfterBreak="0">
    <w:nsid w:val="797438B3"/>
    <w:multiLevelType w:val="multilevel"/>
    <w:tmpl w:val="E064FC18"/>
    <w:lvl w:ilvl="0">
      <w:start w:val="1"/>
      <w:numFmt w:val="bullet"/>
      <w:lvlText w:val=""/>
      <w:lvlJc w:val="left"/>
      <w:pPr>
        <w:ind w:left="1778" w:hanging="360"/>
      </w:pPr>
      <w:rPr>
        <w:rFonts w:ascii="Symbol" w:hAnsi="Symbol" w:hint="default"/>
      </w:rPr>
    </w:lvl>
    <w:lvl w:ilvl="1">
      <w:start w:val="5"/>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num w:numId="1" w16cid:durableId="154348501">
    <w:abstractNumId w:val="1"/>
  </w:num>
  <w:num w:numId="2" w16cid:durableId="1624924731">
    <w:abstractNumId w:val="3"/>
  </w:num>
  <w:num w:numId="3" w16cid:durableId="1647927511">
    <w:abstractNumId w:val="8"/>
  </w:num>
  <w:num w:numId="4" w16cid:durableId="390037252">
    <w:abstractNumId w:val="2"/>
  </w:num>
  <w:num w:numId="5" w16cid:durableId="656497453">
    <w:abstractNumId w:val="0"/>
  </w:num>
  <w:num w:numId="6" w16cid:durableId="1643387744">
    <w:abstractNumId w:val="6"/>
  </w:num>
  <w:num w:numId="7" w16cid:durableId="2041930642">
    <w:abstractNumId w:val="7"/>
  </w:num>
  <w:num w:numId="8" w16cid:durableId="195626701">
    <w:abstractNumId w:val="4"/>
  </w:num>
  <w:num w:numId="9" w16cid:durableId="789666076">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3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52F"/>
    <w:rsid w:val="00001262"/>
    <w:rsid w:val="00003C26"/>
    <w:rsid w:val="0000508E"/>
    <w:rsid w:val="00014FDF"/>
    <w:rsid w:val="00016E64"/>
    <w:rsid w:val="0003016A"/>
    <w:rsid w:val="0003637A"/>
    <w:rsid w:val="0004297E"/>
    <w:rsid w:val="0004718F"/>
    <w:rsid w:val="0005029E"/>
    <w:rsid w:val="0005731D"/>
    <w:rsid w:val="00061431"/>
    <w:rsid w:val="000626A5"/>
    <w:rsid w:val="00064263"/>
    <w:rsid w:val="0007458B"/>
    <w:rsid w:val="00083BC0"/>
    <w:rsid w:val="00085A15"/>
    <w:rsid w:val="0008648C"/>
    <w:rsid w:val="000A7958"/>
    <w:rsid w:val="000A7B51"/>
    <w:rsid w:val="000B4F02"/>
    <w:rsid w:val="000B62AE"/>
    <w:rsid w:val="000C173E"/>
    <w:rsid w:val="000C22A3"/>
    <w:rsid w:val="000C26B5"/>
    <w:rsid w:val="000F296F"/>
    <w:rsid w:val="00107B26"/>
    <w:rsid w:val="0012320D"/>
    <w:rsid w:val="00126DED"/>
    <w:rsid w:val="00126EAF"/>
    <w:rsid w:val="001508F3"/>
    <w:rsid w:val="001671AD"/>
    <w:rsid w:val="00172D5F"/>
    <w:rsid w:val="00191ED2"/>
    <w:rsid w:val="001976B4"/>
    <w:rsid w:val="00197BBF"/>
    <w:rsid w:val="001A0F18"/>
    <w:rsid w:val="001A58F3"/>
    <w:rsid w:val="001C5B77"/>
    <w:rsid w:val="001C7FA2"/>
    <w:rsid w:val="001D0A4B"/>
    <w:rsid w:val="001E60ED"/>
    <w:rsid w:val="001F28C0"/>
    <w:rsid w:val="001F68E9"/>
    <w:rsid w:val="002000DB"/>
    <w:rsid w:val="002236A0"/>
    <w:rsid w:val="00234989"/>
    <w:rsid w:val="0026024B"/>
    <w:rsid w:val="0026410F"/>
    <w:rsid w:val="0027206B"/>
    <w:rsid w:val="002759EA"/>
    <w:rsid w:val="00276DAF"/>
    <w:rsid w:val="002801DE"/>
    <w:rsid w:val="00284151"/>
    <w:rsid w:val="00290565"/>
    <w:rsid w:val="002948AE"/>
    <w:rsid w:val="002B3C6C"/>
    <w:rsid w:val="002B4055"/>
    <w:rsid w:val="002B4183"/>
    <w:rsid w:val="002B578B"/>
    <w:rsid w:val="002C046D"/>
    <w:rsid w:val="002C547C"/>
    <w:rsid w:val="002D2747"/>
    <w:rsid w:val="002D4A99"/>
    <w:rsid w:val="002D5FD0"/>
    <w:rsid w:val="002E6216"/>
    <w:rsid w:val="002E7D67"/>
    <w:rsid w:val="003012E5"/>
    <w:rsid w:val="0030504C"/>
    <w:rsid w:val="0030771A"/>
    <w:rsid w:val="003142AA"/>
    <w:rsid w:val="00326FE7"/>
    <w:rsid w:val="00330E8B"/>
    <w:rsid w:val="003327DC"/>
    <w:rsid w:val="00337A42"/>
    <w:rsid w:val="00341D80"/>
    <w:rsid w:val="00342654"/>
    <w:rsid w:val="003477A4"/>
    <w:rsid w:val="00352164"/>
    <w:rsid w:val="00353DC7"/>
    <w:rsid w:val="00355438"/>
    <w:rsid w:val="00364AB8"/>
    <w:rsid w:val="00372AB6"/>
    <w:rsid w:val="003807C1"/>
    <w:rsid w:val="003868EF"/>
    <w:rsid w:val="003A333B"/>
    <w:rsid w:val="003A7945"/>
    <w:rsid w:val="003B7812"/>
    <w:rsid w:val="003D1545"/>
    <w:rsid w:val="003D15B4"/>
    <w:rsid w:val="003D3DB6"/>
    <w:rsid w:val="003D4E18"/>
    <w:rsid w:val="003D58F1"/>
    <w:rsid w:val="003D7C0E"/>
    <w:rsid w:val="004025FD"/>
    <w:rsid w:val="004225F3"/>
    <w:rsid w:val="00425297"/>
    <w:rsid w:val="00433C8C"/>
    <w:rsid w:val="004356C6"/>
    <w:rsid w:val="00440DC2"/>
    <w:rsid w:val="00446D93"/>
    <w:rsid w:val="004604FD"/>
    <w:rsid w:val="004644C7"/>
    <w:rsid w:val="00465A1C"/>
    <w:rsid w:val="00467389"/>
    <w:rsid w:val="00472CF0"/>
    <w:rsid w:val="0047338B"/>
    <w:rsid w:val="004737E0"/>
    <w:rsid w:val="004A4AD6"/>
    <w:rsid w:val="004A67A6"/>
    <w:rsid w:val="004B5B6E"/>
    <w:rsid w:val="004C5370"/>
    <w:rsid w:val="004C5DA3"/>
    <w:rsid w:val="004E2301"/>
    <w:rsid w:val="004E4F93"/>
    <w:rsid w:val="004E6D2B"/>
    <w:rsid w:val="00504375"/>
    <w:rsid w:val="00504D51"/>
    <w:rsid w:val="00517C80"/>
    <w:rsid w:val="00532283"/>
    <w:rsid w:val="00533B25"/>
    <w:rsid w:val="005377DF"/>
    <w:rsid w:val="00545B5F"/>
    <w:rsid w:val="00560B50"/>
    <w:rsid w:val="005659CC"/>
    <w:rsid w:val="0056754A"/>
    <w:rsid w:val="00574B0E"/>
    <w:rsid w:val="00576AF0"/>
    <w:rsid w:val="005800D8"/>
    <w:rsid w:val="005844DF"/>
    <w:rsid w:val="00590588"/>
    <w:rsid w:val="005966D3"/>
    <w:rsid w:val="00597CF6"/>
    <w:rsid w:val="005B45A0"/>
    <w:rsid w:val="005E38C8"/>
    <w:rsid w:val="005E62CE"/>
    <w:rsid w:val="005F18D3"/>
    <w:rsid w:val="005F6113"/>
    <w:rsid w:val="00604CB8"/>
    <w:rsid w:val="00617EA8"/>
    <w:rsid w:val="00625F32"/>
    <w:rsid w:val="00626410"/>
    <w:rsid w:val="006344FB"/>
    <w:rsid w:val="00653D26"/>
    <w:rsid w:val="006549F3"/>
    <w:rsid w:val="00667AD6"/>
    <w:rsid w:val="00680B1B"/>
    <w:rsid w:val="006A6AE4"/>
    <w:rsid w:val="006C0B3B"/>
    <w:rsid w:val="006E6F25"/>
    <w:rsid w:val="006F2725"/>
    <w:rsid w:val="006F44F3"/>
    <w:rsid w:val="00704F5A"/>
    <w:rsid w:val="007372FE"/>
    <w:rsid w:val="007403D6"/>
    <w:rsid w:val="007432C5"/>
    <w:rsid w:val="00744E4E"/>
    <w:rsid w:val="00745438"/>
    <w:rsid w:val="0075050D"/>
    <w:rsid w:val="00750640"/>
    <w:rsid w:val="00770B88"/>
    <w:rsid w:val="0077343A"/>
    <w:rsid w:val="00773FC6"/>
    <w:rsid w:val="00783BC1"/>
    <w:rsid w:val="00785246"/>
    <w:rsid w:val="00792258"/>
    <w:rsid w:val="00795F75"/>
    <w:rsid w:val="007961C4"/>
    <w:rsid w:val="00797324"/>
    <w:rsid w:val="007A1476"/>
    <w:rsid w:val="007B160A"/>
    <w:rsid w:val="007B4AF9"/>
    <w:rsid w:val="007B79A0"/>
    <w:rsid w:val="007C148B"/>
    <w:rsid w:val="007C252F"/>
    <w:rsid w:val="007C27D6"/>
    <w:rsid w:val="007C4DFE"/>
    <w:rsid w:val="007C5B05"/>
    <w:rsid w:val="007D3E38"/>
    <w:rsid w:val="007D56EC"/>
    <w:rsid w:val="007D57DE"/>
    <w:rsid w:val="007F0076"/>
    <w:rsid w:val="007F3DEE"/>
    <w:rsid w:val="00804FD9"/>
    <w:rsid w:val="00805AAD"/>
    <w:rsid w:val="00812C85"/>
    <w:rsid w:val="00817FE1"/>
    <w:rsid w:val="00822101"/>
    <w:rsid w:val="00826DE8"/>
    <w:rsid w:val="00835E42"/>
    <w:rsid w:val="00864903"/>
    <w:rsid w:val="00865E87"/>
    <w:rsid w:val="00866B10"/>
    <w:rsid w:val="00866BDF"/>
    <w:rsid w:val="008677B2"/>
    <w:rsid w:val="00871814"/>
    <w:rsid w:val="00874A21"/>
    <w:rsid w:val="00880FF9"/>
    <w:rsid w:val="00887643"/>
    <w:rsid w:val="00895175"/>
    <w:rsid w:val="00896BB2"/>
    <w:rsid w:val="008B4033"/>
    <w:rsid w:val="008D18ED"/>
    <w:rsid w:val="008D72FB"/>
    <w:rsid w:val="008E3E3D"/>
    <w:rsid w:val="008F2488"/>
    <w:rsid w:val="008F6653"/>
    <w:rsid w:val="00907CAE"/>
    <w:rsid w:val="00910B68"/>
    <w:rsid w:val="00910FB2"/>
    <w:rsid w:val="00916F45"/>
    <w:rsid w:val="00920024"/>
    <w:rsid w:val="00925E29"/>
    <w:rsid w:val="009344F3"/>
    <w:rsid w:val="009418BE"/>
    <w:rsid w:val="0097345A"/>
    <w:rsid w:val="00985D33"/>
    <w:rsid w:val="00994C5F"/>
    <w:rsid w:val="00995CB2"/>
    <w:rsid w:val="00996343"/>
    <w:rsid w:val="00997404"/>
    <w:rsid w:val="009A7D3B"/>
    <w:rsid w:val="009B1B43"/>
    <w:rsid w:val="009B7114"/>
    <w:rsid w:val="009C220B"/>
    <w:rsid w:val="009C4643"/>
    <w:rsid w:val="009D4540"/>
    <w:rsid w:val="009E17A0"/>
    <w:rsid w:val="009E2836"/>
    <w:rsid w:val="009E4511"/>
    <w:rsid w:val="009F616E"/>
    <w:rsid w:val="009F781C"/>
    <w:rsid w:val="00A01A1E"/>
    <w:rsid w:val="00A04980"/>
    <w:rsid w:val="00A0628E"/>
    <w:rsid w:val="00A155AC"/>
    <w:rsid w:val="00A17426"/>
    <w:rsid w:val="00A26304"/>
    <w:rsid w:val="00A30EA6"/>
    <w:rsid w:val="00A41E69"/>
    <w:rsid w:val="00A43218"/>
    <w:rsid w:val="00A632AC"/>
    <w:rsid w:val="00A63355"/>
    <w:rsid w:val="00A775F6"/>
    <w:rsid w:val="00A856B6"/>
    <w:rsid w:val="00A90264"/>
    <w:rsid w:val="00AA32BC"/>
    <w:rsid w:val="00AA75AC"/>
    <w:rsid w:val="00AB47ED"/>
    <w:rsid w:val="00AD033F"/>
    <w:rsid w:val="00AD53C6"/>
    <w:rsid w:val="00AE1F12"/>
    <w:rsid w:val="00AE44EE"/>
    <w:rsid w:val="00AE4B4D"/>
    <w:rsid w:val="00B024DC"/>
    <w:rsid w:val="00B04A3D"/>
    <w:rsid w:val="00B146FC"/>
    <w:rsid w:val="00B16250"/>
    <w:rsid w:val="00B478DF"/>
    <w:rsid w:val="00B54CD8"/>
    <w:rsid w:val="00B5784B"/>
    <w:rsid w:val="00B6461D"/>
    <w:rsid w:val="00B67967"/>
    <w:rsid w:val="00B6796F"/>
    <w:rsid w:val="00B82C47"/>
    <w:rsid w:val="00B84213"/>
    <w:rsid w:val="00BA213E"/>
    <w:rsid w:val="00BC3666"/>
    <w:rsid w:val="00BC4DDE"/>
    <w:rsid w:val="00BD0295"/>
    <w:rsid w:val="00C04986"/>
    <w:rsid w:val="00C11F75"/>
    <w:rsid w:val="00C1512B"/>
    <w:rsid w:val="00C21121"/>
    <w:rsid w:val="00C307E1"/>
    <w:rsid w:val="00C36C2A"/>
    <w:rsid w:val="00C41989"/>
    <w:rsid w:val="00C4392C"/>
    <w:rsid w:val="00C479A5"/>
    <w:rsid w:val="00C50BDB"/>
    <w:rsid w:val="00C562F9"/>
    <w:rsid w:val="00C6135B"/>
    <w:rsid w:val="00C6490D"/>
    <w:rsid w:val="00C812DA"/>
    <w:rsid w:val="00C81E79"/>
    <w:rsid w:val="00C97CCC"/>
    <w:rsid w:val="00CA107C"/>
    <w:rsid w:val="00CB4681"/>
    <w:rsid w:val="00CB6B66"/>
    <w:rsid w:val="00CC271E"/>
    <w:rsid w:val="00D01627"/>
    <w:rsid w:val="00D01F8A"/>
    <w:rsid w:val="00D06BA0"/>
    <w:rsid w:val="00D16304"/>
    <w:rsid w:val="00D24274"/>
    <w:rsid w:val="00D50D7B"/>
    <w:rsid w:val="00D51023"/>
    <w:rsid w:val="00D55535"/>
    <w:rsid w:val="00D57788"/>
    <w:rsid w:val="00D6029C"/>
    <w:rsid w:val="00D6173E"/>
    <w:rsid w:val="00D633E1"/>
    <w:rsid w:val="00D759DB"/>
    <w:rsid w:val="00D91CEC"/>
    <w:rsid w:val="00D95CCC"/>
    <w:rsid w:val="00DA01D1"/>
    <w:rsid w:val="00DA29CE"/>
    <w:rsid w:val="00DA5944"/>
    <w:rsid w:val="00DA5DCE"/>
    <w:rsid w:val="00DA722B"/>
    <w:rsid w:val="00DB3206"/>
    <w:rsid w:val="00DB3849"/>
    <w:rsid w:val="00DC0B01"/>
    <w:rsid w:val="00DD0B55"/>
    <w:rsid w:val="00DD19A2"/>
    <w:rsid w:val="00DD2749"/>
    <w:rsid w:val="00DD6230"/>
    <w:rsid w:val="00DD7DFA"/>
    <w:rsid w:val="00DF61C5"/>
    <w:rsid w:val="00DF7D46"/>
    <w:rsid w:val="00E04A7E"/>
    <w:rsid w:val="00E2248F"/>
    <w:rsid w:val="00E242A6"/>
    <w:rsid w:val="00E30DF7"/>
    <w:rsid w:val="00E35FDC"/>
    <w:rsid w:val="00E43A12"/>
    <w:rsid w:val="00E43A65"/>
    <w:rsid w:val="00E44018"/>
    <w:rsid w:val="00E443CC"/>
    <w:rsid w:val="00E51571"/>
    <w:rsid w:val="00E567E2"/>
    <w:rsid w:val="00E628E6"/>
    <w:rsid w:val="00E72FCF"/>
    <w:rsid w:val="00E77CF3"/>
    <w:rsid w:val="00E943ED"/>
    <w:rsid w:val="00E97805"/>
    <w:rsid w:val="00E97A97"/>
    <w:rsid w:val="00EB7A6C"/>
    <w:rsid w:val="00EC4EA6"/>
    <w:rsid w:val="00ED58AB"/>
    <w:rsid w:val="00ED5E86"/>
    <w:rsid w:val="00ED6A22"/>
    <w:rsid w:val="00EE2480"/>
    <w:rsid w:val="00EE27CA"/>
    <w:rsid w:val="00EF12D7"/>
    <w:rsid w:val="00EF1CA8"/>
    <w:rsid w:val="00EF516F"/>
    <w:rsid w:val="00F05C40"/>
    <w:rsid w:val="00F11D0E"/>
    <w:rsid w:val="00F1461F"/>
    <w:rsid w:val="00F17AF6"/>
    <w:rsid w:val="00F219E3"/>
    <w:rsid w:val="00F30437"/>
    <w:rsid w:val="00F32AAA"/>
    <w:rsid w:val="00F3737D"/>
    <w:rsid w:val="00F41F49"/>
    <w:rsid w:val="00F52C88"/>
    <w:rsid w:val="00F55A82"/>
    <w:rsid w:val="00F56C0F"/>
    <w:rsid w:val="00F62B53"/>
    <w:rsid w:val="00F66090"/>
    <w:rsid w:val="00F71BB2"/>
    <w:rsid w:val="00F72D02"/>
    <w:rsid w:val="00F738D2"/>
    <w:rsid w:val="00F76A4B"/>
    <w:rsid w:val="00F92588"/>
    <w:rsid w:val="00F97BE6"/>
    <w:rsid w:val="00FB17FC"/>
    <w:rsid w:val="00FB7ACB"/>
    <w:rsid w:val="00FE5174"/>
    <w:rsid w:val="4C4BEE0C"/>
    <w:rsid w:val="76118F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BBBA60"/>
  <w14:defaultImageDpi w14:val="300"/>
  <w15:docId w15:val="{39DAA707-9E6F-43F0-A38C-BD7383756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cs="Arial" w:eastAsia="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52F"/>
    <w:pPr>
      <w:spacing w:after="120"/>
    </w:pPr>
    <w:rPr>
      <w:rFonts w:ascii="Arial" w:hAnsi="Arial" w:cs="Arial"/>
      <w:sz w:val="24"/>
      <w:lang w:eastAsia="en-US"/>
    </w:rPr>
  </w:style>
  <w:style w:type="paragraph" w:styleId="Heading1">
    <w:name w:val="heading 1"/>
    <w:basedOn w:val="Normal"/>
    <w:next w:val="Normal"/>
    <w:link w:val="Heading1Char"/>
    <w:uiPriority w:val="9"/>
    <w:qFormat/>
    <w:rsid w:val="009E4511"/>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9E4511"/>
    <w:pPr>
      <w:keepNext/>
      <w:spacing w:before="240" w:after="60"/>
      <w:outlineLvl w:val="1"/>
    </w:pPr>
    <w:rPr>
      <w:rFonts w:ascii="Cambria" w:hAnsi="Cambria"/>
      <w:b/>
      <w:bCs/>
      <w:i/>
      <w:iCs/>
      <w:sz w:val="28"/>
      <w:szCs w:val="28"/>
    </w:rPr>
  </w:style>
  <w:style w:type="paragraph" w:styleId="Heading3">
    <w:name w:val="heading 3"/>
    <w:basedOn w:val="Normal"/>
    <w:next w:val="Normal"/>
    <w:autoRedefine/>
    <w:qFormat/>
    <w:rsid w:val="007C252F"/>
    <w:pPr>
      <w:keepNext/>
      <w:tabs>
        <w:tab w:val="left" w:pos="-720"/>
        <w:tab w:val="left" w:pos="0"/>
        <w:tab w:val="left" w:pos="720"/>
        <w:tab w:val="left" w:pos="1440"/>
      </w:tabs>
      <w:spacing w:before="120"/>
      <w:jc w:val="both"/>
      <w:outlineLvl w:val="2"/>
    </w:pPr>
    <w:rPr>
      <w:rFonts w:ascii="Arial" w:hAnsi="Arial" w:cs="Arial"/>
      <w:b/>
      <w:caps/>
      <w:szCs w:val="24"/>
    </w:rPr>
  </w:style>
  <w:style w:type="paragraph" w:styleId="Heading5">
    <w:name w:val="heading 5"/>
    <w:basedOn w:val="Normal"/>
    <w:next w:val="Normal"/>
    <w:link w:val="Heading5Char"/>
    <w:uiPriority w:val="9"/>
    <w:semiHidden/>
    <w:unhideWhenUsed/>
    <w:qFormat/>
    <w:rsid w:val="009E4511"/>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C252F"/>
    <w:pPr>
      <w:tabs>
        <w:tab w:val="center" w:pos="4320"/>
        <w:tab w:val="right" w:pos="8640"/>
      </w:tabs>
    </w:pPr>
  </w:style>
  <w:style w:type="paragraph" w:styleId="Footer">
    <w:name w:val="footer"/>
    <w:basedOn w:val="Normal"/>
    <w:rsid w:val="007C252F"/>
    <w:pPr>
      <w:tabs>
        <w:tab w:val="center" w:pos="4320"/>
        <w:tab w:val="right" w:pos="8640"/>
      </w:tabs>
    </w:pPr>
  </w:style>
  <w:style w:type="table" w:styleId="TableGrid">
    <w:name w:val="Table Grid"/>
    <w:basedOn w:val="TableNormal"/>
    <w:rsid w:val="007C25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cedureText">
    <w:name w:val="Procedure Text"/>
    <w:basedOn w:val="Normal"/>
    <w:autoRedefine/>
    <w:rsid w:val="007C252F"/>
    <w:pPr>
      <w:autoSpaceDE w:val="0"/>
      <w:autoSpaceDN w:val="0"/>
      <w:ind w:left="720" w:hanging="360"/>
    </w:pPr>
    <w:rPr>
      <w:szCs w:val="24"/>
    </w:rPr>
  </w:style>
  <w:style w:type="paragraph" w:customStyle="1" w:styleId="MediumGrid21">
    <w:name w:val="Medium Grid 21"/>
    <w:uiPriority w:val="1"/>
    <w:qFormat/>
    <w:rsid w:val="00014FDF"/>
    <w:rPr>
      <w:sz w:val="24"/>
      <w:lang w:eastAsia="en-US"/>
    </w:rPr>
  </w:style>
  <w:style w:type="paragraph" w:styleId="Subtitle">
    <w:name w:val="Subtitle"/>
    <w:basedOn w:val="Normal"/>
    <w:link w:val="SubtitleChar"/>
    <w:qFormat/>
    <w:rsid w:val="00465A1C"/>
    <w:pPr>
      <w:spacing w:after="0"/>
    </w:pPr>
    <w:rPr>
      <w:rFonts w:ascii="Arial" w:hAnsi="Arial"/>
      <w:szCs w:val="24"/>
      <w:u w:val="single"/>
      <w:lang w:val="x-none" w:eastAsia="x-none"/>
    </w:rPr>
  </w:style>
  <w:style w:type="character" w:customStyle="1" w:styleId="SubtitleChar">
    <w:name w:val="Subtitle Char"/>
    <w:link w:val="Subtitle"/>
    <w:rsid w:val="00465A1C"/>
    <w:rPr>
      <w:rFonts w:ascii="Arial" w:hAnsi="Arial" w:cs="Arial"/>
      <w:sz w:val="24"/>
      <w:szCs w:val="24"/>
      <w:u w:val="single"/>
    </w:rPr>
  </w:style>
  <w:style w:type="paragraph" w:customStyle="1" w:styleId="MediumGrid1-Accent21">
    <w:name w:val="Medium Grid 1 - Accent 21"/>
    <w:basedOn w:val="Normal"/>
    <w:qFormat/>
    <w:rsid w:val="00DA722B"/>
    <w:pPr>
      <w:ind w:left="720"/>
    </w:pPr>
  </w:style>
  <w:style w:type="paragraph" w:styleId="BalloonText">
    <w:name w:val="Balloon Text"/>
    <w:basedOn w:val="Normal"/>
    <w:link w:val="BalloonTextChar"/>
    <w:uiPriority w:val="99"/>
    <w:semiHidden/>
    <w:unhideWhenUsed/>
    <w:rsid w:val="00C21121"/>
    <w:pPr>
      <w:spacing w:after="0"/>
    </w:pPr>
    <w:rPr>
      <w:rFonts w:ascii="Tahoma" w:hAnsi="Tahoma"/>
      <w:sz w:val="16"/>
      <w:szCs w:val="16"/>
    </w:rPr>
  </w:style>
  <w:style w:type="character" w:customStyle="1" w:styleId="BalloonTextChar">
    <w:name w:val="Balloon Text Char"/>
    <w:link w:val="BalloonText"/>
    <w:uiPriority w:val="99"/>
    <w:semiHidden/>
    <w:rsid w:val="00C21121"/>
    <w:rPr>
      <w:rFonts w:ascii="Tahoma" w:hAnsi="Tahoma" w:cs="Tahoma"/>
      <w:sz w:val="16"/>
      <w:szCs w:val="16"/>
      <w:lang w:val="en-US" w:eastAsia="en-US"/>
    </w:rPr>
  </w:style>
  <w:style w:type="paragraph" w:customStyle="1" w:styleId="ColorfulList-Accent11">
    <w:name w:val="Colorful List - Accent 11"/>
    <w:basedOn w:val="Normal"/>
    <w:uiPriority w:val="34"/>
    <w:qFormat/>
    <w:rsid w:val="00AE4B4D"/>
    <w:pPr>
      <w:spacing w:after="200" w:line="276" w:lineRule="auto"/>
      <w:ind w:left="720"/>
      <w:contextualSpacing/>
    </w:pPr>
    <w:rPr>
      <w:rFonts w:ascii="Calibri" w:eastAsia="Calibri" w:hAnsi="Calibri"/>
      <w:sz w:val="22"/>
      <w:szCs w:val="22"/>
    </w:rPr>
  </w:style>
  <w:style w:type="paragraph" w:styleId="BodyText">
    <w:name w:val="Body Text"/>
    <w:basedOn w:val="Normal"/>
    <w:link w:val="BodyTextChar"/>
    <w:uiPriority w:val="99"/>
    <w:unhideWhenUsed/>
    <w:rsid w:val="00653D26"/>
    <w:rPr>
      <w:szCs w:val="24"/>
      <w:lang w:val="en-GB"/>
    </w:rPr>
  </w:style>
  <w:style w:type="character" w:customStyle="1" w:styleId="BodyTextChar">
    <w:name w:val="Body Text Char"/>
    <w:link w:val="BodyText"/>
    <w:uiPriority w:val="99"/>
    <w:rsid w:val="00653D26"/>
    <w:rPr>
      <w:sz w:val="24"/>
      <w:szCs w:val="24"/>
      <w:lang w:val="en-GB"/>
    </w:rPr>
  </w:style>
  <w:style w:type="character" w:styleId="Hyperlink">
    <w:name w:val="Hyperlink"/>
    <w:rsid w:val="00653D26"/>
    <w:rPr>
      <w:color w:val="0000FF"/>
      <w:u w:val="single"/>
    </w:rPr>
  </w:style>
  <w:style w:type="character" w:customStyle="1" w:styleId="Heading1Char">
    <w:name w:val="Heading 1 Char"/>
    <w:link w:val="Heading1"/>
    <w:uiPriority w:val="9"/>
    <w:rsid w:val="009E4511"/>
    <w:rPr>
      <w:rFonts w:ascii="Cambria" w:eastAsia="Times New Roman" w:hAnsi="Cambria" w:cs="Times New Roman"/>
      <w:b/>
      <w:bCs/>
      <w:kern w:val="32"/>
      <w:sz w:val="32"/>
      <w:szCs w:val="32"/>
      <w:lang w:val="en-US" w:eastAsia="en-US"/>
    </w:rPr>
  </w:style>
  <w:style w:type="character" w:customStyle="1" w:styleId="Heading2Char">
    <w:name w:val="Heading 2 Char"/>
    <w:link w:val="Heading2"/>
    <w:uiPriority w:val="9"/>
    <w:semiHidden/>
    <w:rsid w:val="009E4511"/>
    <w:rPr>
      <w:rFonts w:ascii="Cambria" w:eastAsia="Times New Roman" w:hAnsi="Cambria" w:cs="Times New Roman"/>
      <w:b/>
      <w:bCs/>
      <w:i/>
      <w:iCs/>
      <w:sz w:val="28"/>
      <w:szCs w:val="28"/>
      <w:lang w:val="en-US" w:eastAsia="en-US"/>
    </w:rPr>
  </w:style>
  <w:style w:type="character" w:customStyle="1" w:styleId="Heading5Char">
    <w:name w:val="Heading 5 Char"/>
    <w:link w:val="Heading5"/>
    <w:uiPriority w:val="9"/>
    <w:semiHidden/>
    <w:rsid w:val="009E4511"/>
    <w:rPr>
      <w:rFonts w:ascii="Calibri" w:eastAsia="Times New Roman" w:hAnsi="Calibri" w:cs="Times New Roman"/>
      <w:b/>
      <w:bCs/>
      <w:i/>
      <w:iCs/>
      <w:sz w:val="26"/>
      <w:szCs w:val="26"/>
      <w:lang w:val="en-US" w:eastAsia="en-US"/>
    </w:rPr>
  </w:style>
  <w:style w:type="paragraph" w:styleId="BodyTextIndent">
    <w:name w:val="Body Text Indent"/>
    <w:basedOn w:val="Normal"/>
    <w:link w:val="BodyTextIndentChar"/>
    <w:uiPriority w:val="99"/>
    <w:semiHidden/>
    <w:unhideWhenUsed/>
    <w:rsid w:val="00F55A82"/>
    <w:pPr>
      <w:ind w:left="283"/>
    </w:pPr>
  </w:style>
  <w:style w:type="character" w:customStyle="1" w:styleId="BodyTextIndentChar">
    <w:name w:val="Body Text Indent Char"/>
    <w:link w:val="BodyTextIndent"/>
    <w:uiPriority w:val="99"/>
    <w:semiHidden/>
    <w:rsid w:val="00F55A82"/>
    <w:rPr>
      <w:sz w:val="24"/>
      <w:lang w:val="en-US" w:eastAsia="en-US"/>
    </w:rPr>
  </w:style>
  <w:style w:type="paragraph" w:styleId="BodyText2">
    <w:name w:val="Body Text 2"/>
    <w:basedOn w:val="Normal"/>
    <w:link w:val="BodyText2Char"/>
    <w:uiPriority w:val="99"/>
    <w:semiHidden/>
    <w:unhideWhenUsed/>
    <w:rsid w:val="00F55A82"/>
    <w:pPr>
      <w:spacing w:line="480" w:lineRule="auto"/>
    </w:pPr>
  </w:style>
  <w:style w:type="character" w:customStyle="1" w:styleId="BodyText2Char">
    <w:name w:val="Body Text 2 Char"/>
    <w:link w:val="BodyText2"/>
    <w:uiPriority w:val="99"/>
    <w:semiHidden/>
    <w:rsid w:val="00F55A82"/>
    <w:rPr>
      <w:sz w:val="24"/>
      <w:lang w:val="en-US" w:eastAsia="en-US"/>
    </w:rPr>
  </w:style>
  <w:style w:type="paragraph" w:customStyle="1" w:styleId="Heading">
    <w:name w:val="Heading"/>
    <w:next w:val="Normal"/>
    <w:qFormat/>
    <w:rsid w:val="00F3737D"/>
    <w:pPr>
      <w:autoSpaceDE w:val="0"/>
      <w:autoSpaceDN w:val="0"/>
      <w:adjustRightInd w:val="0"/>
      <w:spacing w:before="120" w:after="240"/>
      <w:jc w:val="both"/>
    </w:pPr>
    <w:rPr>
      <w:rFonts w:ascii="Arial" w:hAnsi="Arial" w:cs="Arial"/>
      <w:b/>
      <w:bCs/>
      <w:sz w:val="24"/>
      <w:szCs w:val="22"/>
      <w:lang w:eastAsia="en-US"/>
    </w:rPr>
  </w:style>
  <w:style w:type="paragraph" w:styleId="ListParagraph">
    <w:name w:val="List Paragraph"/>
    <w:basedOn w:val="Normal"/>
    <w:uiPriority w:val="34"/>
    <w:qFormat/>
    <w:rsid w:val="001D0A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4F5B7-D48E-460D-B2C7-67F4FFA36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1135</Words>
  <Characters>6473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FS 16</vt:lpstr>
    </vt:vector>
  </TitlesOfParts>
  <Company/>
  <LinksUpToDate>false</LinksUpToDate>
  <CharactersWithSpaces>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Control of Suppliers</dc:subject>
  <dc:creator>ASC Food Safety Consultants</dc:creator>
  <cp:keywords/>
  <cp:lastModifiedBy>ASC Food Safety Consultants</cp:lastModifiedBy>
  <cp:revision>15</cp:revision>
  <cp:lastPrinted>2020-11-11T07:01:00Z</cp:lastPrinted>
  <dcterms:created xsi:type="dcterms:W3CDTF">2021-09-28T09:03:00Z</dcterms:created>
  <dcterms:modified xsi:type="dcterms:W3CDTF">2022-09-13T10:30:00Z</dcterms:modified>
</cp:coreProperties>
</file>