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ARTWORK, PRINT AND COLOUR QUALITY CONTROL PROCEDURE</w:t>
      </w:r>
    </w:p>
    <w:p>
      <w:pPr>
        <w:pStyle w:val="Heading"/>
      </w:pPr>
      <w:r>
        <w:rPr>
          <w:rFonts w:ascii="Arial" w:hAnsi="Arial" w:cs="Arial"/>
          <w:b/>
          <w:bCs/>
          <w:sz w:val="24"/>
          <w:szCs w:val="24"/>
        </w:rPr>
        <w:t xml:space="preserve">1.	PURPOSE</w:t>
      </w:r>
    </w:p>
    <w:p>
      <w:pPr>
        <w:spacing w:before="120" w:after="240"/>
        <w:jc w:val="both"/>
        <w:rPr>
          <w:rFonts w:ascii="Arial" w:hAnsi="Arial" w:cs="Arial"/>
          <w:sz w:val="22"/>
          <w:szCs w:val="22"/>
        </w:rPr>
      </w:pPr>
      <w:r>
        <w:rPr>
          <w:rFonts w:ascii="Arial" w:hAnsi="Arial" w:cs="Arial"/>
          <w:sz w:val="22"/>
          <w:szCs w:val="22"/>
        </w:rPr>
        <w:t xml:space="preserve">This procedure defines how [COMPANY NAME] controls customer artwork from receipt to obsolescence, how printing tooling is specified and version controlled, and how colour, register, density, dot gain, set-off and cure are measured and judged on both printing processes. Its purpose is to make certain that what is printed is the version the customer approved in writing, that the legal and allergen text on pack is correct, and that colour and print conformity are decided by measurement against a defined tolerance rather than by opinion. It implements ISO 9001:2026 clauses 8.5.1 (control of production), 8.5.2 (identification), 8.5.3 (property belonging to customers), 8.6 (release) and 7.1.5 (monitoring and measuring resources).</w:t>
      </w:r>
    </w:p>
    <w:p>
      <w:pPr>
        <w:pStyle w:val="Heading"/>
      </w:pPr>
      <w:r>
        <w:rPr>
          <w:rFonts w:ascii="Arial" w:hAnsi="Arial" w:cs="Arial"/>
          <w:b/>
          <w:bCs/>
          <w:sz w:val="24"/>
          <w:szCs w:val="24"/>
        </w:rPr>
        <w:t xml:space="preserve">2.	SCOPE</w:t>
      </w:r>
    </w:p>
    <w:p>
      <w:pPr>
        <w:spacing w:before="120" w:after="240"/>
        <w:jc w:val="both"/>
        <w:rPr>
          <w:rFonts w:ascii="Arial" w:hAnsi="Arial" w:cs="Arial"/>
          <w:sz w:val="22"/>
          <w:szCs w:val="22"/>
        </w:rPr>
      </w:pPr>
      <w:r>
        <w:rPr>
          <w:rFonts w:ascii="Arial" w:hAnsi="Arial" w:cs="Arial"/>
          <w:sz w:val="22"/>
          <w:szCs w:val="22"/>
        </w:rPr>
        <w:t xml:space="preserve">This procedure applies to all printed work on both production streams: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Line A - printed flexible laminate: reverse gravure printing on 12 micron PET with solvent-based nitrocellulose / polyurethane inks, solvent-based two-component polyurethane adhesive lamination to 50 micron PE sealant film, 72 hour cure, slitting and reel finishing. Supplied to brand owners for chilled sliced cooked meats and cheese.</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Line B - folding carton: sheet-fed UV offset printing on 300 g/m2 barrier-coated virgin folding boxboard, UV varnish, die-cutting, stripping, folding and gluing, packed flat in cartons. Supplied to brand owners for dry foods (rice, pasta, breakfast cereal).</w:t>
      </w:r>
    </w:p>
    <w:p>
      <w:pPr>
        <w:spacing w:before="120" w:after="240"/>
        <w:jc w:val="both"/>
        <w:rPr>
          <w:rFonts w:ascii="Arial" w:hAnsi="Arial" w:cs="Arial"/>
          <w:sz w:val="22"/>
          <w:szCs w:val="22"/>
        </w:rPr>
      </w:pPr>
      <w:r>
        <w:rPr>
          <w:rFonts w:ascii="Arial" w:hAnsi="Arial" w:cs="Arial"/>
          <w:sz w:val="22"/>
          <w:szCs w:val="22"/>
        </w:rPr>
        <w:t xml:space="preserve">It covers pre-press, artwork and proofing, cylinder engraving and plate making, the ink kitchen, colour standards and their storage, in-run print control, and the disposal of obsolete cylinders and plates. Bond strength, lamination, slitting, die-cutting, folding and gluing are controlled under PRO 12. Laboratory test methods are controlled under PRO 13.</w:t>
      </w:r>
    </w:p>
    <w:p>
      <w:pPr>
        <w:pStyle w:val="Heading"/>
      </w:pPr>
      <w:r>
        <w:rPr>
          <w:rFonts w:ascii="Arial" w:hAnsi="Arial" w:cs="Arial"/>
          <w:b/>
          <w:bCs/>
          <w:sz w:val="24"/>
          <w:szCs w:val="24"/>
        </w:rPr>
        <w:t xml:space="preserve">3.	REFERENCES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9001:2026 clauses 7.1.5, 8.2, 8.5.1, 8.5.2, 8.5.3, 8.5.6, 8.6 and 8.7.</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13655 Graphic technology - Spectral measurement and colorimetric computation for graphic arts images (measurement conditions M0, M1, M2, M3).</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3664 Graphic technology and photography - Viewing conditions (P1 critical comparison, D50, 2000 lux plus or minus 500 lux).</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12647 series Graphic technology - Process control for the production of half-tone colour separations, proof and production prints; ISO 2846-1 colour and transparency of printing ink sets.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CIE 15 Colorimetry; CIE 159 A colour appearance model; ISO/CIE 11664-6 CIEDE2000 colour difference formula.</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EuPIA Guideline on printing inks applied to the non-food contact surface of food packaging materials and articles, and the EuPIA Exclusion Policy for printing inks and related products.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Regulation (EC) No 1935/2004; </w:t>
      </w:r>
      <w:r>
        <w:rPr>
          <w:rFonts w:ascii="Arial" w:hAnsi="Arial" w:cs="Arial"/>
          <w:b/>
          <w:bCs/>
          <w:sz w:val="22"/>
          <w:szCs w:val="22"/>
        </w:rPr>
        <w:t xml:space="preserve">Regulation (EC) No 2023/2006 good manufacturing practice, whose Annex requires that printing inks applied to the non-food-contact side of a food contact material are formulated and applied so that substances from the printed surface are NOT TRANSFERRED to the food in concentrations leading to levels in the food that are not in line with the requirements of Article 3 of Regulation (EC) No 1935/2004. That is a threshold requirement, not a zero-transfer rule, and it must not be restated as one: a converter that declares zero transfer is declaring something it cannot support.</w:t>
      </w:r>
      <w:r>
        <w:rPr>
          <w:rFonts w:ascii="Arial" w:hAnsi="Arial" w:cs="Arial"/>
          <w:sz w:val="22"/>
          <w:szCs w:val="22"/>
        </w:rPr>
        <w:t xml:space="preserve"> The Annex addresses both transfer routes - </w:t>
      </w:r>
      <w:r>
        <w:rPr>
          <w:rFonts w:ascii="Arial" w:hAnsi="Arial" w:cs="Arial"/>
          <w:b/>
          <w:bCs/>
          <w:sz w:val="22"/>
          <w:szCs w:val="22"/>
        </w:rPr>
        <w:t xml:space="preserve">through</w:t>
      </w:r>
      <w:r>
        <w:rPr>
          <w:rFonts w:ascii="Arial" w:hAnsi="Arial" w:cs="Arial"/>
          <w:sz w:val="22"/>
          <w:szCs w:val="22"/>
        </w:rPr>
        <w:t xml:space="preserve"> the substrate and by </w:t>
      </w:r>
      <w:r>
        <w:rPr>
          <w:rFonts w:ascii="Arial" w:hAnsi="Arial" w:cs="Arial"/>
          <w:b/>
          <w:bCs/>
          <w:sz w:val="22"/>
          <w:szCs w:val="22"/>
        </w:rPr>
        <w:t xml:space="preserve">set-off</w:t>
      </w:r>
      <w:r>
        <w:rPr>
          <w:rFonts w:ascii="Arial" w:hAnsi="Arial" w:cs="Arial"/>
          <w:sz w:val="22"/>
          <w:szCs w:val="22"/>
        </w:rPr>
        <w:t xml:space="preserve"> in the stack or the reel - and both are controlled at section 6.10. Swiss Ordinance SR 817.023.21 Annex 10 list of permitted substances for food contact printing inks, which applies where Switzerland is a country of sale.</w:t>
      </w:r>
    </w:p>
    <w:p>
      <w:pPr>
        <w:numPr>
          <w:ilvl w:val="0"/>
          <w:numId w:val="3"/>
        </w:numPr>
        <w:spacing w:before="120"/>
        <w:ind w:left="1134" w:hanging="425"/>
        <w:jc w:val="both"/>
        <w:rPr>
          <w:rFonts w:ascii="Arial" w:hAnsi="Arial" w:cs="Arial"/>
          <w:sz w:val="22"/>
          <w:szCs w:val="22"/>
        </w:rPr>
      </w:pPr>
      <w:r>
        <w:rPr>
          <w:rFonts w:ascii="Arial" w:hAnsi="Arial" w:cs="Arial"/>
          <w:b/>
          <w:bCs/>
          <w:sz w:val="22"/>
          <w:szCs w:val="22"/>
        </w:rPr>
        <w:t xml:space="preserve">There is no EU printing ink measure and no adopted German printing ink ordinance.</w:t>
      </w:r>
      <w:r>
        <w:rPr>
          <w:rFonts w:ascii="Arial" w:hAnsi="Arial" w:cs="Arial"/>
          <w:sz w:val="22"/>
          <w:szCs w:val="22"/>
        </w:rPr>
        <w:t xml:space="preserve"> The German Druckfarbenverordnung has been in draft since 2016 and has never been adopted; the German position is </w:t>
      </w:r>
      <w:r>
        <w:rPr>
          <w:rFonts w:ascii="Arial" w:hAnsi="Arial" w:cs="Arial"/>
          <w:b/>
          <w:bCs/>
          <w:sz w:val="22"/>
          <w:szCs w:val="22"/>
        </w:rPr>
        <w:t xml:space="preserve">BfR Recommendation XXXVI (non-binding)</w:t>
      </w:r>
      <w:r>
        <w:rPr>
          <w:rFonts w:ascii="Arial" w:hAnsi="Arial" w:cs="Arial"/>
          <w:sz w:val="22"/>
          <w:szCs w:val="22"/>
        </w:rPr>
        <w:t xml:space="preserve"> together with sections 30 and 31 LFGB. Compliance for inks therefore rests on Article 3 of 1935/2004 plus the printing-ink provisions of the Annex to 2023/2006, with the Swiss Annex 10 applied where the Swiss market is a country of sale.</w:t>
      </w:r>
    </w:p>
    <w:p>
      <w:pPr>
        <w:numPr>
          <w:ilvl w:val="0"/>
          <w:numId w:val="3"/>
        </w:numPr>
        <w:spacing w:before="120"/>
        <w:ind w:left="1134" w:hanging="425"/>
        <w:jc w:val="both"/>
        <w:rPr>
          <w:rFonts w:ascii="Arial" w:hAnsi="Arial" w:cs="Arial"/>
          <w:sz w:val="22"/>
          <w:szCs w:val="22"/>
        </w:rPr>
      </w:pPr>
      <w:r>
        <w:rPr>
          <w:rFonts w:ascii="Arial" w:hAnsi="Arial" w:cs="Arial"/>
          <w:b/>
          <w:bCs/>
          <w:sz w:val="22"/>
          <w:szCs w:val="22"/>
        </w:rPr>
        <w:t xml:space="preserve">CF 8.1.3 Master Product and Process Specification is the single source of every product and process parameter quoted in this procedure.</w:t>
      </w:r>
      <w:r>
        <w:rPr>
          <w:rFonts w:ascii="Arial" w:hAnsi="Arial" w:cs="Arial"/>
          <w:sz w:val="22"/>
          <w:szCs w:val="22"/>
        </w:rPr>
        <w:t xml:space="preserve"> Where a figure here and a figure on CF 8.1.3 differ, CF 8.1.3 governs and this procedure is corrected at the next issue.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PRO 7.1.5 Monitoring and Measuring Resources; PRO 8.3 Design and Development; PRO 8.5 Production and Service Provision; PRO 8.5.3 Property Belonging to Customers or External Providers; PRO 8.6 Release of Products and Services; PRO 8.7 Control of Nonconforming Outputs; PRO 12 Converting Quality Control; PRO 13 Quality Laboratory Management and Test Methods; PRO 14 Statistical Process Control and Process Capability; PRO 15 Measurement System Analysis; PRO 16 Customer Specific Requirements Management; PRO 19 Equipment Tooling and Maintenance for Quality.</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WI 11.1 Colour Approval and Measurement; WI 8.5.1 Line Start-up First-Off and Changeover; WI 8.5.2 In-Process Quality Inspection.</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CF 11.1 Artwork Approval Record; CF 11.2 Cylinder and Plate Version Register; CF 11.3 Proof Approval and Text Check Record; CF 11.4 Colour and Register Check Record; CF 11.5 UV Cure Dose and Rub Test Log; CF 11.6 Approved Ink Varnish and Adhesive List; RA 11 Print Quality Risk Assessment.</w:t>
      </w:r>
    </w:p>
    <w:p>
      <w:pPr>
        <w:pStyle w:val="Heading"/>
      </w:pPr>
      <w:r>
        <w:rPr>
          <w:rFonts w:ascii="Arial" w:hAnsi="Arial" w:cs="Arial"/>
          <w:b/>
          <w:bCs/>
          <w:sz w:val="24"/>
          <w:szCs w:val="24"/>
        </w:rPr>
        <w:t xml:space="preserve">4.	DEFINITIONS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307"/>
        <w:gridCol w:w="8178"/>
      </w:tblGrid>
      <w:tr>
        <w:trPr>
          <w:tblHeader/>
          <w:cantSplit/>
        </w:trPr>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Term</w:t>
            </w:r>
          </w:p>
        </w:tc>
        <w:tc>
          <w:tcPr>
            <w:tcW w:w="81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Definition as used in this procedure</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Artwork</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customer-approved graphic and text file, at a stated version, from which the printing tooling is made. Artwork is customer property under clause 8.5.3 and a controlled document under clause 7.5.</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Contract proof</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colour-managed hard proof, produced on a calibrated proofing system to the agreed characterisation data set, that the customer signs as the colour and content reference for the job. The contract proof is not the colour standard for a solid brand colour; that is a physical colour standard.</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Colour standard</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physical reference against which a colour is judged: either a customer-issued standard (drawdown, printed panel or ink company standard) or a site press-approved standard signed by the customer. Held on CF 11.2 with an issue date and an expiry date.</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Delta E 2000 (dE00)</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CIEDE2000 colour difference between the sample and the standard, computed from spectral data under illuminant D50 and the 2 degree standard observer. Used in preference to dE76 because it corresponds far more closely to what a person sees, particularly in dark, saturated and near-neutral colours.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M1 measurement condition</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ISO 13655 measurement condition in which the illumination incident on the sample conforms to D50 including its ultraviolet content. Used at this site because optical brightening agents are present in the boxboard and in some white inks.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Tone value increase (dot gain)</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difference between the tone value measured on the print and the tone value in the file, at a stated tint patch, expressed in percentage points.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Register</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positional agreement of one printed colour or feature with another, measured between register marks in the print control strip, in millimetres.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Set-off</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Transfer of wet or uncured ink or varnish from the printed face of one web layer or sheet to the reverse of the layer or sheet in contact with it in the reel or stack.</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Low-migration ink system</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An ink, varnish or coating formulated so that, when applied to the non-food-contact surface at the stated coat weight and cured or dried to the stated condition, no substance transfers to the food in a quantity exceeding the applicable limit.</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Line clearance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documented removal from the press, the ink station and the surrounding area of every item belonging to the previous job, verified independently by a second person.</w:t>
            </w:r>
          </w:p>
        </w:tc>
      </w:tr>
    </w:tbl>
    <w:p>
      <w:pPr>
        <w:spacing w:before="0" w:after="120"/>
      </w:pPr>
    </w:p>
    <w:p>
      <w:pPr>
        <w:pStyle w:val="Heading"/>
      </w:pPr>
      <w:r>
        <w:rPr>
          <w:rFonts w:ascii="Arial" w:hAnsi="Arial" w:cs="Arial"/>
          <w:b/>
          <w:bCs/>
          <w:sz w:val="24"/>
          <w:szCs w:val="24"/>
        </w:rPr>
        <w:t xml:space="preserve">5.	RESPONSIBILITIES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3355"/>
        <w:gridCol w:w="7130"/>
      </w:tblGrid>
      <w:tr>
        <w:trPr>
          <w:tblHeader/>
          <w:cantSplit/>
        </w:trPr>
        <w:tc>
          <w:tcPr>
            <w:tcW w:w="335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713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Responsibility under this procedure</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Quality Manager (Quality Management Representative, QMR)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Establishes, maintains and improves the QMS; owns the process map, the risk and opportunity registers, the internal audit programme, the corrective action system and the QMS performance report.</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Production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operational planning and control on both lines; resources the first-off, in-process and release checks; releases the line to run.</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print quality on the gravure and offset presses: colour, register, set-off, cure and artwork conformity.</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Laboratory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the test methods, the measurement system, the calibration programme and the release testing; authorises release on test.</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Engineering / Maintenance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infrastructure, tooling, cylinders, dies and the maintenance programme that keeps process capability.</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Sales and Customer Service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the customer interface: enquiry and contract review, customer-specific requirements, complaints and satisfaction.</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Design and Development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new product and structure development, design reviews, verification, validation and design changes.</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Controls artwork files, proofs, plates and cylinders as controlled documents.</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All personnel</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Work to the current controlled documents, record honestly, stop and escalate when a result is outside limit, and raise improvement ideas.</w:t>
            </w:r>
          </w:p>
        </w:tc>
      </w:tr>
    </w:tbl>
    <w:p>
      <w:pPr>
        <w:spacing w:before="0" w:after="120"/>
      </w:pPr>
    </w:p>
    <w:p>
      <w:pPr>
        <w:pStyle w:val="Heading"/>
      </w:pPr>
      <w:r>
        <w:rPr>
          <w:rFonts w:ascii="Arial" w:hAnsi="Arial" w:cs="Arial"/>
          <w:b/>
          <w:bCs/>
          <w:sz w:val="24"/>
          <w:szCs w:val="24"/>
        </w:rPr>
        <w:t xml:space="preserve">6.	PROCEDURE</w:t>
      </w:r>
    </w:p>
    <w:p>
      <w:pPr>
        <w:pStyle w:val="Heading"/>
      </w:pPr>
      <w:r>
        <w:rPr>
          <w:rFonts w:ascii="Arial" w:hAnsi="Arial" w:cs="Arial"/>
          <w:b/>
          <w:bCs/>
          <w:sz w:val="24"/>
          <w:szCs w:val="24"/>
        </w:rPr>
        <w:t xml:space="preserve">6.1	Artwork receipt, identification and version control</w:t>
      </w:r>
    </w:p>
    <w:p>
      <w:pPr>
        <w:spacing w:before="120" w:after="240"/>
        <w:jc w:val="both"/>
        <w:rPr>
          <w:rFonts w:ascii="Arial" w:hAnsi="Arial" w:cs="Arial"/>
          <w:sz w:val="22"/>
          <w:szCs w:val="22"/>
        </w:rPr>
      </w:pPr>
      <w:r>
        <w:rPr>
          <w:rFonts w:ascii="Arial" w:hAnsi="Arial" w:cs="Arial"/>
          <w:sz w:val="22"/>
          <w:szCs w:val="22"/>
        </w:rPr>
        <w:t xml:space="preserve">Artwork is customer property. It is received, registered and version controlled before any work is done on it. No artwork is worked on from an email attachment, a memory stick handed over at the press or a file held on a personal drive.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629"/>
        <w:gridCol w:w="4194"/>
        <w:gridCol w:w="1887"/>
        <w:gridCol w:w="2307"/>
        <w:gridCol w:w="1468"/>
      </w:tblGrid>
      <w:tr>
        <w:trPr>
          <w:tblHeader/>
          <w:cantSplit/>
        </w:trPr>
        <w:tc>
          <w:tcPr>
            <w:tcW w:w="62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What is done</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Who</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Limit / rule</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A1</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Artwork received into the controlled artwork transfer folder or portal only. Receipt acknowledged to the customer within 1 working day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No other receipt route is valid</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11.1 section 1</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A2</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Artwork registered with a site artwork number, the customer artwork reference, the customer version, the date received and the name of the sender</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Every field completed; a version of 'latest' is not accepted</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11.1</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A3</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Technical check against the structure: web or sheet dimensions, repeat length, cylinder circumference or plate format, bleed, trap, minimum text height, barcode magnification and bar width reduction, varnish-free and glue-free areas, and the reverse or surface print orientation</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 with the Design and Development Manager</w:t>
            </w:r>
          </w:p>
        </w:tc>
        <w:tc>
          <w:tcPr>
            <w:tcW w:w="2307" w:type="dxa"/>
            <w:vAlign w:val="center"/>
          </w:tcPr>
          <w:p>
            <w:pPr>
              <w:spacing w:before="30" w:after="30"/>
              <w:jc w:val="left"/>
              <w:rPr>
                <w:rFonts w:ascii="Arial" w:hAnsi="Arial" w:cs="Arial"/>
                <w:sz w:val="20"/>
                <w:szCs w:val="20"/>
              </w:rPr>
            </w:pPr>
            <w:r>
              <w:rPr>
                <w:rFonts w:ascii="Arial" w:hAnsi="Arial" w:cs="Arial"/>
                <w:b/>
                <w:bCs/>
                <w:sz w:val="20"/>
                <w:szCs w:val="20"/>
              </w:rPr>
              <w:t xml:space="preserve">Barcode: the GS1 minimum is grade 1.5 (ISO/IEC 15416) and is what stops the job - below 1.5 the code does not leave the site. The SITE TARGET is grade 2.0 (grade C) or better, which is what press-side instructions aim at. The two figures are different things and are recorded separately: 1.5 is the reject limit, 2.0 is the aim.</w:t>
            </w:r>
            <w:r>
              <w:rPr>
                <w:rFonts w:ascii="Arial" w:hAnsi="Arial" w:cs="Arial"/>
                <w:sz w:val="20"/>
                <w:szCs w:val="20"/>
              </w:rPr>
              <w:t xml:space="preserve"> Minimum positive text 6 point, minimum reverse text 7 point</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11.1 section 2</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A4</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Colour separation, screening and curve selection; the characterisation data set and the tone value curves applied are recorded so the job can be repeated identically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The applied curve set is named on the record; a curve is never changed at the press without a new pre-press record</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11.1 section 3</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A5</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Superseded artwork versions marked SUPERSEDED in the artwork system and moved to the archive area within 1 working day of a new version being approved</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No superseded version is left in the live folder</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11.1; CF 7.5.1</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A6</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Customer property damage, loss or unsuitability reported to the customer in writing</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Sales and Customer Service Manager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Within 1 working day of discovery</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CF 8.5.5 Customer Property Register</w:t>
            </w:r>
          </w:p>
        </w:tc>
      </w:tr>
    </w:tbl>
    <w:p>
      <w:pPr>
        <w:spacing w:before="0" w:after="120"/>
      </w:pPr>
    </w:p>
    <w:p>
      <w:pPr>
        <w:pStyle w:val="Heading"/>
      </w:pPr>
      <w:r>
        <w:rPr>
          <w:rFonts w:ascii="Arial" w:hAnsi="Arial" w:cs="Arial"/>
          <w:b/>
          <w:bCs/>
          <w:sz w:val="24"/>
          <w:szCs w:val="24"/>
        </w:rPr>
        <w:t xml:space="preserve">6.2	The two-person legal and allergen text check</w:t>
      </w:r>
    </w:p>
    <w:p>
      <w:pPr>
        <w:spacing w:before="120" w:after="240"/>
        <w:jc w:val="both"/>
        <w:rPr>
          <w:rFonts w:ascii="Arial" w:hAnsi="Arial" w:cs="Arial"/>
          <w:sz w:val="22"/>
          <w:szCs w:val="22"/>
        </w:rPr>
      </w:pPr>
      <w:r>
        <w:rPr>
          <w:rFonts w:ascii="Arial" w:hAnsi="Arial" w:cs="Arial"/>
          <w:sz w:val="22"/>
          <w:szCs w:val="22"/>
        </w:rPr>
        <w:t xml:space="preserve">This is the single most important check in this procedure. A colour deviation costs money; an incorrect allergen declaration, net quantity, storage instruction, country of origin or durability date format can cause a customer recall and can breach food information law. It is therefore carried out twice, by two named and authorised people, working independently, on the same defined list of elements.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516"/>
        <w:gridCol w:w="7969"/>
      </w:tblGrid>
      <w:tr>
        <w:trPr>
          <w:tblHeader/>
          <w:cantSplit/>
        </w:trPr>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Rule</w:t>
            </w:r>
          </w:p>
        </w:tc>
        <w:tc>
          <w:tcPr>
            <w:tcW w:w="796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How it is applied</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Who may check</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Only personnel authorised for the task 'artwork legal and allergen text check' on CF 7.2.6. The two checkers must be different people. The person who created or amended the artwork file may not be one of the two checkers.</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Independence</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Each checker works from the customer-supplied copy deck or master text file, not from the other checker's marked-up copy, and does not see the other's result before recording their own. Two people looking at one sheet together is one check, not two.</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Element list</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Each checker works through the list in section 6.3 element by element and records pass or fail against each element. A single overall tick is not acceptable.</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Recording</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Both checkers sign CF 11.3 with name, date and time. The record is not valid with one signature.</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Disagreement</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Any disagreement between the two checkers stops the job. The Quality Manager obtains written clarification from the customer before the artwork proceeds.</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Re-check on change</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Any change to the artwork after the check, however small, including a repositioning of a code box, invalidates the check. The full two-person check is repeated on the new version.</w:t>
            </w:r>
          </w:p>
        </w:tc>
      </w:tr>
    </w:tbl>
    <w:p>
      <w:pPr>
        <w:spacing w:before="0" w:after="120"/>
      </w:pPr>
    </w:p>
    <w:p>
      <w:pPr>
        <w:pStyle w:val="Heading"/>
      </w:pPr>
      <w:r>
        <w:rPr>
          <w:rFonts w:ascii="Arial" w:hAnsi="Arial" w:cs="Arial"/>
          <w:b/>
          <w:bCs/>
          <w:sz w:val="24"/>
          <w:szCs w:val="24"/>
        </w:rPr>
        <w:t xml:space="preserve">6.3	Elements verified at the text check</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524"/>
        <w:gridCol w:w="4194"/>
        <w:gridCol w:w="3670"/>
        <w:gridCol w:w="2097"/>
      </w:tblGrid>
      <w:tr>
        <w:trPr>
          <w:tblHeader/>
          <w:cantSplit/>
        </w:trPr>
        <w:tc>
          <w:tcPr>
            <w:tcW w:w="52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t>
            </w:r>
          </w:p>
        </w:tc>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Element</w:t>
            </w:r>
          </w:p>
        </w:tc>
        <w:tc>
          <w:tcPr>
            <w:tcW w:w="367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Verified against</w:t>
            </w:r>
          </w:p>
        </w:tc>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Fail action</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1</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Product name and legal descriptor</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 at the stated version</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 query to customer</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2</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Ingredient list, in order, with the full allergen set emphasised as required</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 allergen emphasis method stated by the customer</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 query to customer</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3</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'May contain' or precautionary allergen statement</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4</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Net quantity and the e-mark where used</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5</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Durability date format and the position of the date and lot code box, including the clearance for the coder and the contrast of the substrate behind it</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 CF 17.1</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6</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Storage and use instructions, including the chilled storage statement on Line A products</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7</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Business name and address of the food business operator, and country of origin where declared</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8</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Nutrition declaration values and units</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9</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Barcode digits, symbology, magnification, bar width reduction and quiet zone</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 verified on the proof with the calibrated barcode verifier</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10</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Recycling, disposal and material identification marks</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11</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Certification and licence marks and their licence numbers (organic, quality schemes, third party logos)</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 and the licence document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12</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Language versions - every language present is checked in full, not only the first</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Customer copy deck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r>
        <w:tc>
          <w:tcPr>
            <w:tcW w:w="524" w:type="dxa"/>
            <w:vAlign w:val="center"/>
          </w:tcPr>
          <w:p>
            <w:pPr>
              <w:spacing w:before="30" w:after="30"/>
              <w:jc w:val="left"/>
              <w:rPr>
                <w:rFonts w:ascii="Arial" w:hAnsi="Arial" w:cs="Arial"/>
                <w:sz w:val="20"/>
                <w:szCs w:val="20"/>
              </w:rPr>
            </w:pPr>
            <w:r>
              <w:rPr>
                <w:rFonts w:ascii="Arial" w:hAnsi="Arial" w:cs="Arial"/>
                <w:sz w:val="20"/>
                <w:szCs w:val="20"/>
              </w:rPr>
              <w:t xml:space="preserve">13</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Text that must not appear: superseded claims, old addresses, previous promotion text</w:t>
            </w:r>
          </w:p>
        </w:tc>
        <w:tc>
          <w:tcPr>
            <w:tcW w:w="3670" w:type="dxa"/>
            <w:vAlign w:val="center"/>
          </w:tcPr>
          <w:p>
            <w:pPr>
              <w:spacing w:before="30" w:after="30"/>
              <w:jc w:val="left"/>
              <w:rPr>
                <w:rFonts w:ascii="Arial" w:hAnsi="Arial" w:cs="Arial"/>
                <w:sz w:val="20"/>
                <w:szCs w:val="20"/>
              </w:rPr>
            </w:pPr>
            <w:r>
              <w:rPr>
                <w:rFonts w:ascii="Arial" w:hAnsi="Arial" w:cs="Arial"/>
                <w:sz w:val="20"/>
                <w:szCs w:val="20"/>
              </w:rPr>
              <w:t xml:space="preserve">Previous approved version comparison</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Stop</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Where the customer provides a digital master text file, an electronic text comparison is run between the master file and the artwork file as a third, mechanical check. The electronic comparison supplements the two-person check; it does not replace either checker.</w:t>
      </w:r>
    </w:p>
    <w:p>
      <w:pPr>
        <w:pStyle w:val="Heading"/>
      </w:pPr>
      <w:r>
        <w:rPr>
          <w:rFonts w:ascii="Arial" w:hAnsi="Arial" w:cs="Arial"/>
          <w:b/>
          <w:bCs/>
          <w:sz w:val="24"/>
          <w:szCs w:val="24"/>
        </w:rPr>
        <w:t xml:space="preserve">6.4	Customer written approval before tooling</w:t>
      </w:r>
    </w:p>
    <w:p>
      <w:pPr>
        <w:spacing w:before="120" w:after="240"/>
        <w:jc w:val="both"/>
        <w:rPr>
          <w:rFonts w:ascii="Arial" w:hAnsi="Arial" w:cs="Arial"/>
          <w:sz w:val="22"/>
          <w:szCs w:val="22"/>
        </w:rPr>
      </w:pPr>
      <w:r>
        <w:rPr>
          <w:rFonts w:ascii="Arial" w:hAnsi="Arial" w:cs="Arial"/>
          <w:b/>
          <w:bCs/>
          <w:sz w:val="22"/>
          <w:szCs w:val="22"/>
        </w:rPr>
        <w:t xml:space="preserve">No cylinder is engraved and no plate is made until the customer's written approval of the artwork and of the contract proof is on file.</w:t>
      </w:r>
      <w:r>
        <w:rPr>
          <w:rFonts w:ascii="Arial" w:hAnsi="Arial" w:cs="Arial"/>
          <w:sz w:val="22"/>
          <w:szCs w:val="22"/>
        </w:rPr>
        <w:t xml:space="preserve"> A verbal approval, an approval 'in principle', an approval by a person whose authority is not established, or a forwarded email without a signed or electronically signed approval is not an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7759"/>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Requirement</w:t>
            </w:r>
          </w:p>
        </w:tc>
        <w:tc>
          <w:tcPr>
            <w:tcW w:w="775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Detail</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Form of approval</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The customer's signature or auditable electronic approval on the contract proof or on the customer's own artwork approval form, naming the artwork version.</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Authority</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The approving person must be on the customer's nominated approver list held on CF 16.1. A new approver is confirmed in writing by the customer before their approval is accepted.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Completeness</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The approval must cover the same version number as the artwork that will be engraved. A version mismatch is a stop.</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Conditional approval</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An approval carrying comments or conditions is not an approval. The comments are actioned, a new proof is issued and a clean approval obtained.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Retention</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The approval and the approved proof are retained for the life of the artwork plus 5 years, on CF 11.1 and in the job file.</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Release of tooling order</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The Pre-press and Artwork Coordinator releases the engraving or plate-making order only after the QMR has confirmed on CF 11.1 that the two-person text check and the customer approval are both complete and consistent.</w:t>
            </w:r>
          </w:p>
        </w:tc>
      </w:tr>
    </w:tbl>
    <w:p>
      <w:pPr>
        <w:spacing w:before="0" w:after="120"/>
      </w:pPr>
    </w:p>
    <w:p>
      <w:pPr>
        <w:pStyle w:val="Heading"/>
      </w:pPr>
      <w:r>
        <w:rPr>
          <w:rFonts w:ascii="Arial" w:hAnsi="Arial" w:cs="Arial"/>
          <w:b/>
          <w:bCs/>
          <w:sz w:val="24"/>
          <w:szCs w:val="24"/>
        </w:rPr>
        <w:t xml:space="preserve">6.5	Cylinder engraving and plate making specification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4404"/>
        <w:gridCol w:w="4194"/>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Parameter</w:t>
            </w:r>
          </w:p>
        </w:tc>
        <w:tc>
          <w:tcPr>
            <w:tcW w:w="440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A - gravure cylinder</w:t>
            </w:r>
          </w:p>
        </w:tc>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B - offset plate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Base and construction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Steel base, copper plated, electromechanically engraved or laser engraved, hard chrome finished</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Thermal CTP aluminium plate, 0.30 mm gauge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Specified on order</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Cylinder circumference and face width, repeat length, engraving stylus angle, screen ruling, cell depth and volume, chrome thickness, balance class</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Plate format, screening (AM 200 lpi or hybrid), imaging resolution 2400 dpi, tone value curve set</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Screen ruling</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70 to 100 lines per cm by colour, stated on the order</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200 lines per inch, or the customer-specified alternative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Chrome thickness</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6 to 8 micron</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Not applicable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Cell volume tolerance</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Plus or minus 5 percent of the specified volume, measured by the engraver and certified</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Not applicable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Plate calibration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Not applicable</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Plate linearity verified at 25, 50 and 75 percent with the plate measurement device; tolerance plus or minus 1 percent</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Identification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Every cylinder permanently marked with the cylinder number, the colour, the artwork number and the version</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Every plate marked in the trim with the plate number, the colour, the artwork number and the version</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Incoming verification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Cylinder certificate checked against the order; engraving proof or cylinder proof taken; cylinder number entered on CF 11.2 before it enters the store</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Plate curve and register punch verified; plate number entered on CF 11.2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Storage</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Racked in the cylinder store, protected sleeves fitted, ambient 15 to 25 degrees C, relative humidity 40 to 65 percent</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Flat, interleaved, in the dark, 15 to 25 degrees C and 40 to 65 percent relative humidity, below 25 degrees C, used within 6 months of imaging</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Ownership</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Customer-owned tooling identified as such on CF 11.2 and on CF 8.5.5</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Customer-owned tooling identified as such on CF 11.2 and on CF 8.5.5</w:t>
            </w:r>
          </w:p>
        </w:tc>
      </w:tr>
    </w:tbl>
    <w:p>
      <w:pPr>
        <w:spacing w:before="0" w:after="120"/>
      </w:pPr>
    </w:p>
    <w:p>
      <w:pPr>
        <w:pStyle w:val="Heading"/>
      </w:pPr>
      <w:r>
        <w:rPr>
          <w:rFonts w:ascii="Arial" w:hAnsi="Arial" w:cs="Arial"/>
          <w:b/>
          <w:bCs/>
          <w:sz w:val="24"/>
          <w:szCs w:val="24"/>
        </w:rPr>
        <w:t xml:space="preserve">6.6	Proof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2307"/>
        <w:gridCol w:w="4404"/>
        <w:gridCol w:w="1887"/>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Proof type</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Purpose</w:t>
            </w:r>
          </w:p>
        </w:tc>
        <w:tc>
          <w:tcPr>
            <w:tcW w:w="440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Control applied</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Who approves</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Soft proof</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Early content and layout review only</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Calibrated display, D50 surround; never used as a colour reference</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Contract proof</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Colour and content reference for the job</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Produced on the calibrated proofing system to the agreed characterisation data set; carries a control strip; dE00 of the control strip patches against the aim data not more than 2.0 average and not more than 3.0 maximum; printed with the date and the proofing profile in the slug</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Customer, in writing, on CF 11.3</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Press proof / first production approval</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Confirms the job can be produced on the production press within tolerance</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Run on the production press with production inks and substrate; measured under WI 11.1</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Customer or, where delegated in writing on CF 16.1, the Print Manager</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Retained approved sample</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The colour and content reference for every subsequent run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One approved sample retained per artwork version, dated, protected from light, renewed under section 6.8</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The contract proof is a colour-managed simulation. Where a solid brand colour is involved, the physical colour standard, not the proof, is the reference, because a proofing system reproduces a brand colour by simulation and a press reproduces it with the actual ink.</w:t>
      </w:r>
    </w:p>
    <w:p>
      <w:pPr>
        <w:pStyle w:val="Heading"/>
      </w:pPr>
      <w:r>
        <w:rPr>
          <w:rFonts w:ascii="Arial" w:hAnsi="Arial" w:cs="Arial"/>
          <w:b/>
          <w:bCs/>
          <w:sz w:val="24"/>
          <w:szCs w:val="24"/>
        </w:rPr>
        <w:t xml:space="preserve">6.7	Colour measurement: geometry, illuminant, observer and measurement condition</w:t>
      </w:r>
    </w:p>
    <w:p>
      <w:pPr>
        <w:spacing w:before="120" w:after="240"/>
        <w:jc w:val="both"/>
        <w:rPr>
          <w:rFonts w:ascii="Arial" w:hAnsi="Arial" w:cs="Arial"/>
          <w:sz w:val="22"/>
          <w:szCs w:val="22"/>
        </w:rPr>
      </w:pPr>
      <w:r>
        <w:rPr>
          <w:rFonts w:ascii="Arial" w:hAnsi="Arial" w:cs="Arial"/>
          <w:sz w:val="22"/>
          <w:szCs w:val="22"/>
        </w:rPr>
        <w:t xml:space="preserve">Colour conformity at this site is decided by instrumental measurement, supported by a visual check in a standard viewing booth. The measurement parameters below are fixed; an instrument set up differently produces a number that cannot be compared with the customer's number, and the commonest cause of a colour dispute is two parties measuring the same print under two different conditions.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3565"/>
        <w:gridCol w:w="5033"/>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Parameter</w:t>
            </w:r>
          </w:p>
        </w:tc>
        <w:tc>
          <w:tcPr>
            <w:tcW w:w="356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Site standard</w:t>
            </w:r>
          </w:p>
        </w:tc>
        <w:tc>
          <w:tcPr>
            <w:tcW w:w="503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Why this setting is used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Geometry</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45 degrees annular illumination / 0 degrees observation (45:0), on both lines</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45:0 excludes the specular reflection, so gloss differences between the laminated film, the UV-varnished carton and the customer's drawdown do not distort the colour number. It corresponds to how a person views a pack under diffuse light. Sphere (d:8) geometry is not used as the site standard because specular-included readings mask real gloss and lay differences that the customer will see; where a customer specification mandates sphere geometry, that specification is followed and the geometry is stated on the certificate.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Illuminant</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D50</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D50 is the graphic arts standard illuminant and matches the ISO 3664 P1 viewing booth used for the visual check, so the instrument and the eye are judging under the same light. D65 is used only where a customer specification requires it, and this is recorded.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Standard observer</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2 degree, on both lines</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2 degree observer is the graphic arts convention used by the customers' own colour data and by the ink suppliers' standards, so site numbers are directly comparable with theirs. The 10 degree observer is used only when the customer specification states it; the observer used is always printed on the certificate, because a 2 degree and a 10 degree value for the same sample are not the same number.</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Measurement condition</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M1 (D50 illumination including the defined ultraviolet content)</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boxboard on Line B and several opaque white inks contain optical brightening agents that fluoresce. Under M0, the UV content of the instrument lamp is undefined, so two instruments give two answers on the same brightened substrate. M1 fixes the UV content and makes results reproducible between the site, the customer and the ink supplier. M2 (UV-excluded) is used only as a diagnostic, to separate a brightener effect from a pigment effect.</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Aperture</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4 mm for solids and large tint areas; 3.2 mm where the control patch is small</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aperture must sit wholly within the patch. A reading that overlaps a patch edge is invalid.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Colour difference formula</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CIEDE2000 (dE00), with the standard parametric factors kL = kC = kH = 1</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dE00 correlates with visual perception far better than dE76, especially in the dark blues, the near-neutrals and the saturated reds used in the brand colours on this site.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Backing</w:t>
            </w:r>
          </w:p>
        </w:tc>
        <w:tc>
          <w:tcPr>
            <w:tcW w:w="3565" w:type="dxa"/>
            <w:vAlign w:val="center"/>
          </w:tcPr>
          <w:p>
            <w:pPr>
              <w:spacing w:before="30" w:after="30"/>
              <w:jc w:val="left"/>
              <w:rPr>
                <w:rFonts w:ascii="Arial" w:hAnsi="Arial" w:cs="Arial"/>
                <w:sz w:val="20"/>
                <w:szCs w:val="20"/>
              </w:rPr>
            </w:pPr>
            <w:r>
              <w:rPr>
                <w:rFonts w:ascii="Arial" w:hAnsi="Arial" w:cs="Arial"/>
                <w:b/>
                <w:bCs/>
                <w:sz w:val="20"/>
                <w:szCs w:val="20"/>
              </w:rPr>
              <w:t xml:space="preserve">The calibrated WHITE backing tile, on both lines and on every colour conformity measurement - unlaminated reverse-printed film, laminated film and carton alike.</w:t>
            </w:r>
            <w:r>
              <w:rPr>
                <w:rFonts w:ascii="Arial" w:hAnsi="Arial" w:cs="Arial"/>
                <w:sz w:val="20"/>
                <w:szCs w:val="20"/>
              </w:rPr>
              <w:t xml:space="preserve"> The black backing is used for one purpose only: the separate </w:t>
            </w:r>
            <w:r>
              <w:rPr>
                <w:rFonts w:ascii="Arial" w:hAnsi="Arial" w:cs="Arial"/>
                <w:b/>
                <w:bCs/>
                <w:sz w:val="20"/>
                <w:szCs w:val="20"/>
              </w:rPr>
              <w:t xml:space="preserve">opacity</w:t>
            </w:r>
            <w:r>
              <w:rPr>
                <w:rFonts w:ascii="Arial" w:hAnsi="Arial" w:cs="Arial"/>
                <w:sz w:val="20"/>
                <w:szCs w:val="20"/>
              </w:rPr>
              <w:t xml:space="preserve"> determination of the white base (contrast ratio over black and white), which is recorded as opacity and never as a colour result</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backing changes the measured colour of anything that is not fully opaque, so it must be fixed, stated, and the same as the backing used when the standard was measured. Measuring the unlaminated reverse print over black and the laminated sample over white would mean the press reading and the release reading are </w:t>
            </w:r>
            <w:r>
              <w:rPr>
                <w:rFonts w:ascii="Arial" w:hAnsi="Arial" w:cs="Arial"/>
                <w:b/>
                <w:bCs/>
                <w:sz w:val="20"/>
                <w:szCs w:val="20"/>
              </w:rPr>
              <w:t xml:space="preserve">not the same measurement</w:t>
            </w:r>
            <w:r>
              <w:rPr>
                <w:rFonts w:ascii="Arial" w:hAnsi="Arial" w:cs="Arial"/>
                <w:sz w:val="20"/>
                <w:szCs w:val="20"/>
              </w:rPr>
              <w:t xml:space="preserve">, cannot be trended against one another, and neither would match the customer's own figure - CF 16.1 CSR-001 specifies D50, 2 degree, M1, 45:0 </w:t>
            </w:r>
            <w:r>
              <w:rPr>
                <w:rFonts w:ascii="Arial" w:hAnsi="Arial" w:cs="Arial"/>
                <w:b/>
                <w:bCs/>
                <w:sz w:val="20"/>
                <w:szCs w:val="20"/>
              </w:rPr>
              <w:t xml:space="preserve">over a white backing</w:t>
            </w:r>
            <w:r>
              <w:rPr>
                <w:rFonts w:ascii="Arial" w:hAnsi="Arial" w:cs="Arial"/>
                <w:sz w:val="20"/>
                <w:szCs w:val="20"/>
              </w:rPr>
              <w:t xml:space="preserve">.</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Viewing booth</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ISO 3664 P1: D50 source, 2000 lux plus or minus 500 lux at the sample, neutral grey surround, lamps replaced at the manufacturer's stated hours and logged on CF 19.1</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visual check is a real check, not a formality: it catches gloss, lay, mottle, graininess and metamerism that a single dE00 number does not describe.</w:t>
            </w:r>
          </w:p>
        </w:tc>
      </w:tr>
    </w:tbl>
    <w:p>
      <w:pPr>
        <w:spacing w:before="0" w:after="120"/>
      </w:pPr>
    </w:p>
    <w:p>
      <w:pPr>
        <w:pStyle w:val="Heading"/>
      </w:pPr>
      <w:r>
        <w:rPr>
          <w:rFonts w:ascii="Arial" w:hAnsi="Arial" w:cs="Arial"/>
          <w:b/>
          <w:bCs/>
          <w:sz w:val="24"/>
          <w:szCs w:val="24"/>
        </w:rPr>
        <w:t xml:space="preserve">6.8	Colour tolerance</w:t>
      </w:r>
    </w:p>
    <w:p>
      <w:pPr>
        <w:spacing w:before="120" w:after="240"/>
        <w:jc w:val="both"/>
        <w:rPr>
          <w:rFonts w:ascii="Arial" w:hAnsi="Arial" w:cs="Arial"/>
          <w:sz w:val="22"/>
          <w:szCs w:val="22"/>
        </w:rPr>
      </w:pPr>
      <w:r>
        <w:rPr>
          <w:rFonts w:ascii="Arial" w:hAnsi="Arial" w:cs="Arial"/>
          <w:b/>
          <w:bCs/>
          <w:sz w:val="22"/>
          <w:szCs w:val="22"/>
        </w:rPr>
        <w:t xml:space="preserve">The site colour tolerance is the one on CF 8.1.3 and it is set by colour type, not by customer:</w:t>
      </w:r>
      <w:r>
        <w:rPr>
          <w:rFonts w:ascii="Arial" w:hAnsi="Arial" w:cs="Arial"/>
          <w:sz w:val="22"/>
          <w:szCs w:val="22"/>
        </w:rPr>
        <w:t xml:space="preserve"> CIEDE2000 (dE00) against the approved standard: solid brand colours not more than 1.5; other spot and process colours not more than 2.0; overprints and tints not more than 2.5; metallics not more than 3.0. A tighter customer tolerance on CF 16.1 always governs.</w:t>
      </w:r>
    </w:p>
    <w:p>
      <w:pPr>
        <w:spacing w:before="120" w:after="240"/>
        <w:jc w:val="both"/>
        <w:rPr>
          <w:rFonts w:ascii="Arial" w:hAnsi="Arial" w:cs="Arial"/>
          <w:sz w:val="22"/>
          <w:szCs w:val="22"/>
        </w:rPr>
      </w:pPr>
      <w:r>
        <w:rPr>
          <w:rFonts w:ascii="Arial" w:hAnsi="Arial" w:cs="Arial"/>
          <w:b/>
          <w:bCs/>
          <w:sz w:val="22"/>
          <w:szCs w:val="22"/>
        </w:rPr>
        <w:t xml:space="preserve">This is the SITE standard.</w:t>
      </w:r>
      <w:r>
        <w:rPr>
          <w:rFonts w:ascii="Arial" w:hAnsi="Arial" w:cs="Arial"/>
          <w:sz w:val="22"/>
          <w:szCs w:val="22"/>
        </w:rPr>
        <w:t xml:space="preserve"> The 1.5 dE00 figure for a solid brand colour is the site's own limit for any brand colour on either line; it is not a single customer's tighter requirement, and no document may describe the site standard as 2.0 on all colours. A customer tolerance that is </w:t>
      </w:r>
      <w:r>
        <w:rPr>
          <w:rFonts w:ascii="Arial" w:hAnsi="Arial" w:cs="Arial"/>
          <w:b/>
          <w:bCs/>
          <w:sz w:val="22"/>
          <w:szCs w:val="22"/>
        </w:rPr>
        <w:t xml:space="preserve">tighter</w:t>
      </w:r>
      <w:r>
        <w:rPr>
          <w:rFonts w:ascii="Arial" w:hAnsi="Arial" w:cs="Arial"/>
          <w:sz w:val="22"/>
          <w:szCs w:val="22"/>
        </w:rPr>
        <w:t xml:space="preserve"> than the site tolerance applies to that customer's product and is recorded on CF 16.1 and on the job quality plan CF 8.1.1. A customer tolerance that is </w:t>
      </w:r>
      <w:r>
        <w:rPr>
          <w:rFonts w:ascii="Arial" w:hAnsi="Arial" w:cs="Arial"/>
          <w:b/>
          <w:bCs/>
          <w:sz w:val="22"/>
          <w:szCs w:val="22"/>
        </w:rPr>
        <w:t xml:space="preserve">looser</w:t>
      </w:r>
      <w:r>
        <w:rPr>
          <w:rFonts w:ascii="Arial" w:hAnsi="Arial" w:cs="Arial"/>
          <w:sz w:val="22"/>
          <w:szCs w:val="22"/>
        </w:rPr>
        <w:t xml:space="preserve"> than the site tolerance does not relax the site tolerance.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2097"/>
        <w:gridCol w:w="3565"/>
        <w:gridCol w:w="2097"/>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Colour type</w:t>
            </w:r>
          </w:p>
        </w:tc>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dE00 tolerance against the standard</w:t>
            </w:r>
          </w:p>
        </w:tc>
        <w:tc>
          <w:tcPr>
            <w:tcW w:w="356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Additional limit</w:t>
            </w:r>
          </w:p>
        </w:tc>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Applies to</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Solid brand / identity colour (the colour the consumer recognises the brand by)</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1.5</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Delta H not more than 1.0; two consecutive readings on the same reel must not differ by more than 0.8</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Both lines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Other solid spot colour</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2.0</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Delta H not more than 1.2</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Both lines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Process solids - cyan, magenta, yellow, black</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2.0</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solid ink density tolerance plus or minus 0.10 against the approved standard, on Line B</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Both lines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Overprint secondary (red, green, blue)</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2.5</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Trap value recorded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Line B</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Tint or screened area at or below 70 percent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2.5</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Tone value increase within the section 6.9 limit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Both lines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Opaque white base (reverse printed on Line A)</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2.0</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Opacity not less than 85 percent measured as contrast ratio over black and white backing</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Line A</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Metallic, pearlescent and special effect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more than 3.0</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Must additionally pass a visual comparison in the P1 booth by two people</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Both lines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Matt or textured varnish area</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Not assessed by dE00</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Gloss at 60 degrees within plus or minus 5 gloss units of the standard; visual pass</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Line B</w:t>
            </w:r>
          </w:p>
        </w:tc>
      </w:tr>
    </w:tbl>
    <w:p>
      <w:pPr>
        <w:spacing w:before="0" w:after="120"/>
      </w:pP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516"/>
        <w:gridCol w:w="7969"/>
      </w:tblGrid>
      <w:tr>
        <w:trPr>
          <w:tblHeader/>
          <w:cantSplit/>
        </w:trPr>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Decision</w:t>
            </w:r>
          </w:p>
        </w:tc>
        <w:tc>
          <w:tcPr>
            <w:tcW w:w="796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Rule</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Pass</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Mean dE00 of the required number of measurement points is within tolerance and no single point exceeds the tolerance by more than 0.5.</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Conditional / concession</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Mean within tolerance but a single point outside: the Print Manager and the Quality Manager review; a concession may be raised on CF 8.7.2 only with the customer's written agreement. Never on a solid brand colour.</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Fail</w:t>
            </w:r>
          </w:p>
        </w:tc>
        <w:tc>
          <w:tcPr>
            <w:tcW w:w="7969" w:type="dxa"/>
            <w:vAlign w:val="center"/>
          </w:tcPr>
          <w:p>
            <w:pPr>
              <w:spacing w:before="30" w:after="30"/>
              <w:jc w:val="left"/>
              <w:rPr>
                <w:rFonts w:ascii="Arial" w:hAnsi="Arial" w:cs="Arial"/>
                <w:sz w:val="20"/>
                <w:szCs w:val="20"/>
              </w:rPr>
            </w:pPr>
            <w:r>
              <w:rPr>
                <w:rFonts w:ascii="Arial" w:hAnsi="Arial" w:cs="Arial"/>
                <w:sz w:val="20"/>
                <w:szCs w:val="20"/>
              </w:rPr>
              <w:t xml:space="preserve">Mean outside tolerance. The press is adjusted and a new set of readings taken. Product printed since the last passing reading is quarantined under PRO 8.7 on CF 8.7.3.</w:t>
            </w:r>
          </w:p>
        </w:tc>
      </w:tr>
    </w:tbl>
    <w:p>
      <w:pPr>
        <w:spacing w:before="0" w:after="120"/>
      </w:pPr>
    </w:p>
    <w:p>
      <w:pPr>
        <w:pStyle w:val="Heading"/>
      </w:pPr>
      <w:r>
        <w:rPr>
          <w:rFonts w:ascii="Arial" w:hAnsi="Arial" w:cs="Arial"/>
          <w:b/>
          <w:bCs/>
          <w:sz w:val="24"/>
          <w:szCs w:val="24"/>
        </w:rPr>
        <w:t xml:space="preserve">6.9	Register, density and dot gain control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468"/>
        <w:gridCol w:w="2307"/>
        <w:gridCol w:w="2516"/>
        <w:gridCol w:w="1678"/>
        <w:gridCol w:w="1468"/>
        <w:gridCol w:w="1048"/>
      </w:tblGrid>
      <w:tr>
        <w:trPr>
          <w:tblHeader/>
          <w:cantSplit/>
        </w:trPr>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Characteristic</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A - gravure</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B - UV offset</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Measured with</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Frequency</w:t>
            </w:r>
          </w:p>
        </w:tc>
        <w:tc>
          <w:tcPr>
            <w:tcW w:w="104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Colour to colour register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gravure register: within plus or minus 0.10 mm, with no single reading more than 0.15 mm</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offset register: within plus or minus 0.05 mm, with no single reading more than 0.08 mm</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Register microscope or reel inspection system on the register marks in the control strip</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First-off, then every 30 minutes and at every reel, pallet or stoppage restart</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11.4</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Print to cut / print to crease register</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Within plus or minus 0.5 mm of the eye mark to the sealing position</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Within plus or minus 0.3 mm print to cut</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Steel rule or measuring microscope on the die-cut sample</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First-off and every 30 minutes</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11.4; CF 12.5</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Solid ink density</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Not the primary control; monitored as a trend by colour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Target by colour: K 1.75, C 1.45, M 1.45, Y 1.05; solid ink density tolerance plus or minus 0.10 against the approved standard. </w:t>
            </w:r>
            <w:r>
              <w:rPr>
                <w:rFonts w:ascii="Arial" w:hAnsi="Arial" w:cs="Arial"/>
                <w:b/>
                <w:bCs/>
                <w:sz w:val="20"/>
                <w:szCs w:val="20"/>
              </w:rPr>
              <w:t xml:space="preserve">Read in STATUS E response, with NO polarisation filter.</w:t>
            </w:r>
            <w:r>
              <w:rPr>
                <w:rFonts w:ascii="Arial" w:hAnsi="Arial" w:cs="Arial"/>
                <w:sz w:val="20"/>
                <w:szCs w:val="20"/>
              </w:rPr>
              <w:t xml:space="preserve"> These aim densities are the European ISO 12647-2 values and are defined against the status E response; reading them in status T (the North American response) gives different numbers, most noticeably on yellow and cyan, and a job set to European aims but measured in status T is mis-set. A </w:t>
            </w:r>
            <w:r>
              <w:rPr>
                <w:rFonts w:ascii="Arial" w:hAnsi="Arial" w:cs="Arial"/>
                <w:b/>
                <w:bCs/>
                <w:sz w:val="20"/>
                <w:szCs w:val="20"/>
              </w:rPr>
              <w:t xml:space="preserve">polarisation filter is not used</w:t>
            </w:r>
            <w:r>
              <w:rPr>
                <w:rFonts w:ascii="Arial" w:hAnsi="Arial" w:cs="Arial"/>
                <w:sz w:val="20"/>
                <w:szCs w:val="20"/>
              </w:rPr>
              <w:t xml:space="preserve">: it is a wet-ink offset device intended to make a wet film read like a dry one, it reads density high, it is unnecessary on a UV ink that cures instantly, and it is incompatible with the M1 colorimetric condition this procedure mandates at section 6.7 (polarisation corresponds to measurement condition M3). </w:t>
            </w:r>
            <w:r>
              <w:rPr>
                <w:rFonts w:ascii="Arial" w:hAnsi="Arial" w:cs="Arial"/>
                <w:b/>
                <w:bCs/>
                <w:sz w:val="20"/>
                <w:szCs w:val="20"/>
              </w:rPr>
              <w:t xml:space="preserve">Density response (status E) and colorimetric measurement condition (M1) are separate settings on the instrument and both are set and recorded</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Spectrodensitometer on the control strip solid patch</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First-off and every 30 minutes</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11.4</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Tone value increase (dot gain)</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At the 50 percent cell: plus or minus 5 percentage points of the approved curve</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At the 40 percent patch: 16 percent plus or minus 4 percentage points; at the 80 percent patch: 10 percent plus or minus 3 percentage points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Spectrodensitometer on the control strip tint patches</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First-off and every 60 minutes</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11.4</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Print contrast and slur / doubling</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Visual against the approved sample and the star target</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Print contrast not less than 30 percent on black; slur target visually symmetrical</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Control strip targets</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First-off and every 60 minutes</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11.4</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Ink viscosity (Line A)</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DIN 4 flow cup at 25 degrees C: target 18 seconds, accept 17 to 19 seconds. The reference temperature is part of the specification; a viscosity read at another temperature is void. Measured at every deck</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Not applicable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DIN 4 flow cup, stopwatch and a calibrated thermometer in the ink, or an inline viscometer with temperature compensation</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Every 30 minutes and at every solvent addition</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8.5.3</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Ink fountain and dampening balance (Line B)</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Not applicable</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Dampening conductivity 1200 to 1800 microsiemens per cm; pH 4.8 to 5.5; fountain temperature 10 to 14 degrees C</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Conductivity meter and pH meter</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At start-up and every 2 hours</w:t>
            </w:r>
          </w:p>
        </w:tc>
        <w:tc>
          <w:tcPr>
            <w:tcW w:w="1048" w:type="dxa"/>
            <w:vAlign w:val="center"/>
          </w:tcPr>
          <w:p>
            <w:pPr>
              <w:spacing w:before="30" w:after="30"/>
              <w:jc w:val="left"/>
              <w:rPr>
                <w:rFonts w:ascii="Arial" w:hAnsi="Arial" w:cs="Arial"/>
                <w:sz w:val="20"/>
                <w:szCs w:val="20"/>
              </w:rPr>
            </w:pPr>
            <w:r>
              <w:rPr>
                <w:rFonts w:ascii="Arial" w:hAnsi="Arial" w:cs="Arial"/>
                <w:sz w:val="20"/>
                <w:szCs w:val="20"/>
              </w:rPr>
              <w:t xml:space="preserve">CF 8.5.3</w:t>
            </w:r>
          </w:p>
        </w:tc>
      </w:tr>
    </w:tbl>
    <w:p>
      <w:pPr>
        <w:spacing w:before="0" w:after="120"/>
      </w:pPr>
    </w:p>
    <w:p>
      <w:pPr>
        <w:pStyle w:val="Heading"/>
      </w:pPr>
      <w:r>
        <w:rPr>
          <w:rFonts w:ascii="Arial" w:hAnsi="Arial" w:cs="Arial"/>
          <w:b/>
          <w:bCs/>
          <w:sz w:val="24"/>
          <w:szCs w:val="24"/>
        </w:rPr>
        <w:t xml:space="preserve">6.9.1	Surface energy of the PET before reverse printing (Line A)</w:t>
      </w:r>
    </w:p>
    <w:p>
      <w:pPr>
        <w:spacing w:before="120" w:after="240"/>
        <w:jc w:val="both"/>
        <w:rPr>
          <w:rFonts w:ascii="Arial" w:hAnsi="Arial" w:cs="Arial"/>
          <w:sz w:val="22"/>
          <w:szCs w:val="22"/>
        </w:rPr>
      </w:pPr>
      <w:r>
        <w:rPr>
          <w:rFonts w:ascii="Arial" w:hAnsi="Arial" w:cs="Arial"/>
          <w:sz w:val="22"/>
          <w:szCs w:val="22"/>
        </w:rPr>
        <w:t xml:space="preserve">The only design verification failure recorded in this toolkit - a bond of 2.1 against a 2.5 N/15 mm specification on CF 8.3.4 - was caused by low corona treatment on the PET. Treatment also </w:t>
      </w:r>
      <w:r>
        <w:rPr>
          <w:rFonts w:ascii="Arial" w:hAnsi="Arial" w:cs="Arial"/>
          <w:b/>
          <w:bCs/>
          <w:sz w:val="22"/>
          <w:szCs w:val="22"/>
        </w:rPr>
        <w:t xml:space="preserve">decays in storage</w:t>
      </w:r>
      <w:r>
        <w:rPr>
          <w:rFonts w:ascii="Arial" w:hAnsi="Arial" w:cs="Arial"/>
          <w:sz w:val="22"/>
          <w:szCs w:val="22"/>
        </w:rPr>
        <w:t xml:space="preserve">, which CF 18.1 names as a known mechanism. A check at goods-in alone is therefore not enough, and this procedure adds the check at the point of use.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3565"/>
        <w:gridCol w:w="2516"/>
        <w:gridCol w:w="1468"/>
        <w:gridCol w:w="1049"/>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Check point</w:t>
            </w:r>
          </w:p>
        </w:tc>
        <w:tc>
          <w:tcPr>
            <w:tcW w:w="356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Requirement</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Method</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Frequency</w:t>
            </w:r>
          </w:p>
        </w:tc>
        <w:tc>
          <w:tcPr>
            <w:tcW w:w="104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Goods-in</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surface energy of the treated PET print side not less than 40 mN/m, verified at goods-in, at the unwind before printing, and against the treatment shelf life declared by the film supplier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Dyne test pens or test inks of the graded set, applied to the treated face per the supplier instruction; contact angle where a dispute arises</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Every incoming film lot, three positions across the web</w:t>
            </w:r>
          </w:p>
        </w:tc>
        <w:tc>
          <w:tcPr>
            <w:tcW w:w="1049" w:type="dxa"/>
            <w:vAlign w:val="center"/>
          </w:tcPr>
          <w:p>
            <w:pPr>
              <w:spacing w:before="30" w:after="30"/>
              <w:jc w:val="left"/>
              <w:rPr>
                <w:rFonts w:ascii="Arial" w:hAnsi="Arial" w:cs="Arial"/>
                <w:sz w:val="20"/>
                <w:szCs w:val="20"/>
              </w:rPr>
            </w:pPr>
            <w:r>
              <w:rPr>
                <w:rFonts w:ascii="Arial" w:hAnsi="Arial" w:cs="Arial"/>
                <w:sz w:val="20"/>
                <w:szCs w:val="20"/>
              </w:rPr>
              <w:t xml:space="preserve">CF 8.4.5; CF 8.1.1</w:t>
            </w:r>
          </w:p>
        </w:tc>
      </w:tr>
      <w:tr>
        <w:tc>
          <w:tcPr>
            <w:tcW w:w="1887" w:type="dxa"/>
            <w:vAlign w:val="center"/>
          </w:tcPr>
          <w:p>
            <w:pPr>
              <w:spacing w:before="30" w:after="30"/>
              <w:jc w:val="left"/>
              <w:rPr>
                <w:rFonts w:ascii="Arial" w:hAnsi="Arial" w:cs="Arial"/>
                <w:sz w:val="20"/>
                <w:szCs w:val="20"/>
              </w:rPr>
            </w:pPr>
            <w:r>
              <w:rPr>
                <w:rFonts w:ascii="Arial" w:hAnsi="Arial" w:cs="Arial"/>
                <w:b/>
                <w:bCs/>
                <w:sz w:val="20"/>
                <w:szCs w:val="20"/>
              </w:rPr>
              <w:t xml:space="preserve">At the unwind, immediately before reverse printing</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Not less than 40 mN/m on the treated print side, at operator side, centre and drive side. </w:t>
            </w:r>
            <w:r>
              <w:rPr>
                <w:rFonts w:ascii="Arial" w:hAnsi="Arial" w:cs="Arial"/>
                <w:b/>
                <w:bCs/>
                <w:sz w:val="20"/>
                <w:szCs w:val="20"/>
              </w:rPr>
              <w:t xml:space="preserve">A reel that has been in store beyond the treatment shelf life declared by the film supplier is re-checked before it is loaded, whatever the goods-in result said</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Dyne pens at the unwind before the web is threaded</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Every reel at load</w:t>
            </w:r>
          </w:p>
        </w:tc>
        <w:tc>
          <w:tcPr>
            <w:tcW w:w="1049" w:type="dxa"/>
            <w:vAlign w:val="center"/>
          </w:tcPr>
          <w:p>
            <w:pPr>
              <w:spacing w:before="30" w:after="30"/>
              <w:jc w:val="left"/>
              <w:rPr>
                <w:rFonts w:ascii="Arial" w:hAnsi="Arial" w:cs="Arial"/>
                <w:sz w:val="20"/>
                <w:szCs w:val="20"/>
              </w:rPr>
            </w:pPr>
            <w:r>
              <w:rPr>
                <w:rFonts w:ascii="Arial" w:hAnsi="Arial" w:cs="Arial"/>
                <w:sz w:val="20"/>
                <w:szCs w:val="20"/>
              </w:rPr>
              <w:t xml:space="preserve">CF 8.5.1; CF 11.4</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Below limit</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The reel is not run. It is held on CF 8.7.3, the supplier is notified on CF 8.4.3, and the lot is quarantined pending disposition under PRO 8.7. </w:t>
            </w:r>
            <w:r>
              <w:rPr>
                <w:rFonts w:ascii="Arial" w:hAnsi="Arial" w:cs="Arial"/>
                <w:b/>
                <w:bCs/>
                <w:sz w:val="20"/>
                <w:szCs w:val="20"/>
              </w:rPr>
              <w:t xml:space="preserve">Corona treating the film on the press to rescue a decayed reel is not permitted on this structure without a documented change under PRO 6.3 and a re-validated bond</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n/a</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n/a</w:t>
            </w:r>
          </w:p>
        </w:tc>
        <w:tc>
          <w:tcPr>
            <w:tcW w:w="1049" w:type="dxa"/>
            <w:vAlign w:val="center"/>
          </w:tcPr>
          <w:p>
            <w:pPr>
              <w:spacing w:before="30" w:after="30"/>
              <w:jc w:val="left"/>
              <w:rPr>
                <w:rFonts w:ascii="Arial" w:hAnsi="Arial" w:cs="Arial"/>
                <w:sz w:val="20"/>
                <w:szCs w:val="20"/>
              </w:rPr>
            </w:pPr>
            <w:r>
              <w:rPr>
                <w:rFonts w:ascii="Arial" w:hAnsi="Arial" w:cs="Arial"/>
                <w:sz w:val="20"/>
                <w:szCs w:val="20"/>
              </w:rPr>
              <w:t xml:space="preserve">CF 8.7.3; CF 8.4.3</w:t>
            </w:r>
          </w:p>
        </w:tc>
      </w:tr>
    </w:tbl>
    <w:p>
      <w:pPr>
        <w:spacing w:before="0" w:after="120"/>
      </w:pPr>
    </w:p>
    <w:p>
      <w:pPr>
        <w:pStyle w:val="Heading"/>
      </w:pPr>
      <w:r>
        <w:rPr>
          <w:rFonts w:ascii="Arial" w:hAnsi="Arial" w:cs="Arial"/>
          <w:b/>
          <w:bCs/>
          <w:sz w:val="24"/>
          <w:szCs w:val="24"/>
        </w:rPr>
        <w:t xml:space="preserve">6.10	Set-off control</w:t>
      </w:r>
    </w:p>
    <w:p>
      <w:pPr>
        <w:spacing w:before="120" w:after="240"/>
        <w:jc w:val="both"/>
        <w:rPr>
          <w:rFonts w:ascii="Arial" w:hAnsi="Arial" w:cs="Arial"/>
          <w:sz w:val="22"/>
          <w:szCs w:val="22"/>
        </w:rPr>
      </w:pPr>
      <w:r>
        <w:rPr>
          <w:rFonts w:ascii="Arial" w:hAnsi="Arial" w:cs="Arial"/>
          <w:sz w:val="22"/>
          <w:szCs w:val="22"/>
        </w:rPr>
        <w:t xml:space="preserve">Set-off is controlled at the point it is created, not found at the customer. The controls differ between the two lines because the mechanism differs: on Line A set-off is a residual solvent and reel tension effect; on Line B it is an incomplete UV cure and stack pressure effect.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678"/>
        <w:gridCol w:w="4404"/>
        <w:gridCol w:w="4403"/>
      </w:tblGrid>
      <w:tr>
        <w:trPr>
          <w:tblHeader/>
          <w:cantSplit/>
        </w:trPr>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Control</w:t>
            </w:r>
          </w:p>
        </w:tc>
        <w:tc>
          <w:tcPr>
            <w:tcW w:w="440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A - printed film reel</w:t>
            </w:r>
          </w:p>
        </w:tc>
        <w:tc>
          <w:tcPr>
            <w:tcW w:w="440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Line B - printed and varnished sheets</w:t>
            </w:r>
          </w:p>
        </w:tc>
      </w:tr>
      <w:tr>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Prevention at the press</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Dryer zone temperatures at the works order setting, plus or minus 3 degrees C; web speed not above the validated maximum for the ink coverage; reel tension to the tension profile</w:t>
            </w:r>
          </w:p>
        </w:tc>
        <w:tc>
          <w:tcPr>
            <w:tcW w:w="4403" w:type="dxa"/>
            <w:vAlign w:val="center"/>
          </w:tcPr>
          <w:p>
            <w:pPr>
              <w:spacing w:before="30" w:after="30"/>
              <w:jc w:val="left"/>
              <w:rPr>
                <w:rFonts w:ascii="Arial" w:hAnsi="Arial" w:cs="Arial"/>
                <w:sz w:val="20"/>
                <w:szCs w:val="20"/>
              </w:rPr>
            </w:pPr>
            <w:r>
              <w:rPr>
                <w:rFonts w:ascii="Arial" w:hAnsi="Arial" w:cs="Arial"/>
                <w:sz w:val="20"/>
                <w:szCs w:val="20"/>
              </w:rPr>
              <w:t xml:space="preserve">UV dose not less than the validated minimum at running speed; anti-set-off spray powder at the set application rate; pile height not more than 1200 mm</w:t>
            </w:r>
          </w:p>
        </w:tc>
      </w:tr>
      <w:tr>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Check at the press</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Reel wound-in sample examined on the light box at first-off and at each reel change; residual solvent sampled at first-off and every 2 hours</w:t>
            </w:r>
          </w:p>
        </w:tc>
        <w:tc>
          <w:tcPr>
            <w:tcW w:w="4403" w:type="dxa"/>
            <w:vAlign w:val="center"/>
          </w:tcPr>
          <w:p>
            <w:pPr>
              <w:spacing w:before="30" w:after="30"/>
              <w:jc w:val="left"/>
              <w:rPr>
                <w:rFonts w:ascii="Arial" w:hAnsi="Arial" w:cs="Arial"/>
                <w:sz w:val="20"/>
                <w:szCs w:val="20"/>
              </w:rPr>
            </w:pPr>
            <w:r>
              <w:rPr>
                <w:rFonts w:ascii="Arial" w:hAnsi="Arial" w:cs="Arial"/>
                <w:sz w:val="20"/>
                <w:szCs w:val="20"/>
              </w:rPr>
              <w:t xml:space="preserve">MEK double rub test on the varnish at first-off and every 2 hours; set-off check on the top 10 sheets of the pile after 30 minutes standing</w:t>
            </w:r>
          </w:p>
        </w:tc>
      </w:tr>
      <w:tr>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Limit</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No visible ink transfer on the reverse face under the light box. Residual solvent: </w:t>
            </w:r>
            <w:r>
              <w:rPr>
                <w:rFonts w:ascii="Arial" w:hAnsi="Arial" w:cs="Arial"/>
                <w:b/>
                <w:bCs/>
                <w:sz w:val="20"/>
                <w:szCs w:val="20"/>
              </w:rPr>
              <w:t xml:space="preserve">this is the PRINTED WEB BEFORE LAMINATION limit - printed web before lamination: total retained solvent not more than 10 mg/m2, no single solvent more than 3 mg/m2 (WI 13.1). It is NOT the release limit for finished product.</w:t>
            </w:r>
            <w:r>
              <w:rPr>
                <w:rFonts w:ascii="Arial" w:hAnsi="Arial" w:cs="Arial"/>
                <w:sz w:val="20"/>
                <w:szCs w:val="20"/>
              </w:rPr>
              <w:t xml:space="preserve"> The finished laminate at release is held to the tighter </w:t>
            </w:r>
            <w:r>
              <w:rPr>
                <w:rFonts w:ascii="Arial" w:hAnsi="Arial" w:cs="Arial"/>
                <w:b/>
                <w:bCs/>
                <w:sz w:val="20"/>
                <w:szCs w:val="20"/>
              </w:rPr>
              <w:t xml:space="preserve">finished laminate at release: total retained solvent not more than 5 mg/m2, ethyl acetate not more than 2 mg/m2</w:t>
            </w:r>
            <w:r>
              <w:rPr>
                <w:rFonts w:ascii="Arial" w:hAnsi="Arial" w:cs="Arial"/>
                <w:sz w:val="20"/>
                <w:szCs w:val="20"/>
              </w:rPr>
              <w:t xml:space="preserve"> under PRO 12 section 6.5, and a finished-laminate result must never be judged against the 10 / 3 printed-web figure</w:t>
            </w:r>
          </w:p>
        </w:tc>
        <w:tc>
          <w:tcPr>
            <w:tcW w:w="4403" w:type="dxa"/>
            <w:vAlign w:val="center"/>
          </w:tcPr>
          <w:p>
            <w:pPr>
              <w:spacing w:before="30" w:after="30"/>
              <w:jc w:val="left"/>
              <w:rPr>
                <w:rFonts w:ascii="Arial" w:hAnsi="Arial" w:cs="Arial"/>
                <w:sz w:val="20"/>
                <w:szCs w:val="20"/>
              </w:rPr>
            </w:pPr>
            <w:r>
              <w:rPr>
                <w:rFonts w:ascii="Arial" w:hAnsi="Arial" w:cs="Arial"/>
                <w:sz w:val="20"/>
                <w:szCs w:val="20"/>
              </w:rPr>
              <w:t xml:space="preserve">No visible transfer to the reverse of the sheet above; not less than 30 MEK double rubs with no ink or varnish transfer to the pad (method in WI 11.1 section 6, not WI 13.1)</w:t>
            </w:r>
          </w:p>
        </w:tc>
      </w:tr>
      <w:tr>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Record</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CF 11.4; CF 12.3; CF 13.2</w:t>
            </w:r>
          </w:p>
        </w:tc>
        <w:tc>
          <w:tcPr>
            <w:tcW w:w="4403" w:type="dxa"/>
            <w:vAlign w:val="center"/>
          </w:tcPr>
          <w:p>
            <w:pPr>
              <w:spacing w:before="30" w:after="30"/>
              <w:jc w:val="left"/>
              <w:rPr>
                <w:rFonts w:ascii="Arial" w:hAnsi="Arial" w:cs="Arial"/>
                <w:sz w:val="20"/>
                <w:szCs w:val="20"/>
              </w:rPr>
            </w:pPr>
            <w:r>
              <w:rPr>
                <w:rFonts w:ascii="Arial" w:hAnsi="Arial" w:cs="Arial"/>
                <w:sz w:val="20"/>
                <w:szCs w:val="20"/>
              </w:rPr>
              <w:t xml:space="preserve">CF 11.5; CF 12.3</w:t>
            </w:r>
          </w:p>
        </w:tc>
      </w:tr>
      <w:tr>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Fail action</w:t>
            </w:r>
          </w:p>
        </w:tc>
        <w:tc>
          <w:tcPr>
            <w:tcW w:w="4404" w:type="dxa"/>
            <w:vAlign w:val="center"/>
          </w:tcPr>
          <w:p>
            <w:pPr>
              <w:spacing w:before="30" w:after="30"/>
              <w:jc w:val="left"/>
              <w:rPr>
                <w:rFonts w:ascii="Arial" w:hAnsi="Arial" w:cs="Arial"/>
                <w:sz w:val="20"/>
                <w:szCs w:val="20"/>
              </w:rPr>
            </w:pPr>
            <w:r>
              <w:rPr>
                <w:rFonts w:ascii="Arial" w:hAnsi="Arial" w:cs="Arial"/>
                <w:sz w:val="20"/>
                <w:szCs w:val="20"/>
              </w:rPr>
              <w:t xml:space="preserve">Stop the reel, quarantine on CF 8.7.3, reduce speed or raise dryer temperature within the validated envelope, re-test, and re-check the previous two reels</w:t>
            </w:r>
          </w:p>
        </w:tc>
        <w:tc>
          <w:tcPr>
            <w:tcW w:w="4403" w:type="dxa"/>
            <w:vAlign w:val="center"/>
          </w:tcPr>
          <w:p>
            <w:pPr>
              <w:spacing w:before="30" w:after="30"/>
              <w:jc w:val="left"/>
              <w:rPr>
                <w:rFonts w:ascii="Arial" w:hAnsi="Arial" w:cs="Arial"/>
                <w:sz w:val="20"/>
                <w:szCs w:val="20"/>
              </w:rPr>
            </w:pPr>
            <w:r>
              <w:rPr>
                <w:rFonts w:ascii="Arial" w:hAnsi="Arial" w:cs="Arial"/>
                <w:sz w:val="20"/>
                <w:szCs w:val="20"/>
              </w:rPr>
              <w:t xml:space="preserve">Stop, quarantine the pile on CF 8.7.3, check lamp hours and dose, re-cure is not permitted - affected sheets are scrapped</w:t>
            </w:r>
          </w:p>
        </w:tc>
      </w:tr>
    </w:tbl>
    <w:p>
      <w:pPr>
        <w:spacing w:before="0" w:after="120"/>
      </w:pPr>
    </w:p>
    <w:p>
      <w:pPr>
        <w:pStyle w:val="Heading"/>
      </w:pPr>
      <w:r>
        <w:rPr>
          <w:rFonts w:ascii="Arial" w:hAnsi="Arial" w:cs="Arial"/>
          <w:b/>
          <w:bCs/>
          <w:sz w:val="24"/>
          <w:szCs w:val="24"/>
        </w:rPr>
        <w:t xml:space="preserve">6.11	UV cure dose and rub resistance (Line B)</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097"/>
        <w:gridCol w:w="2726"/>
        <w:gridCol w:w="2516"/>
        <w:gridCol w:w="1887"/>
        <w:gridCol w:w="1259"/>
      </w:tblGrid>
      <w:tr>
        <w:trPr>
          <w:tblHeader/>
          <w:cantSplit/>
        </w:trPr>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Control point</w:t>
            </w:r>
          </w:p>
        </w:tc>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Limit</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Method</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Frequency</w:t>
            </w:r>
          </w:p>
        </w:tc>
        <w:tc>
          <w:tcPr>
            <w:tcW w:w="125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UV dose and peak irradiance, UVA band</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not less than 120 mJ/cm2 UVA per lamp station at running speed, with peak irradiance not less than 0.60 W/cm2 UVA. </w:t>
            </w:r>
            <w:r>
              <w:rPr>
                <w:rFonts w:ascii="Arial" w:hAnsi="Arial" w:cs="Arial"/>
                <w:b/>
                <w:bCs/>
                <w:sz w:val="20"/>
                <w:szCs w:val="20"/>
              </w:rPr>
              <w:t xml:space="preserve">Dose alone does not define cure.</w:t>
            </w:r>
            <w:r>
              <w:rPr>
                <w:rFonts w:ascii="Arial" w:hAnsi="Arial" w:cs="Arial"/>
                <w:sz w:val="20"/>
                <w:szCs w:val="20"/>
              </w:rPr>
              <w:t xml:space="preserve"> The same 120 mJ/cm2 delivered slowly at low irradiance will not cure a pigmented film the way the same dose delivered at high irradiance and high speed will: dose drives depth of cure through the film, peak irradiance drives cure at and near the surface. </w:t>
            </w:r>
            <w:r>
              <w:rPr>
                <w:rFonts w:ascii="Arial" w:hAnsi="Arial" w:cs="Arial"/>
                <w:b/>
                <w:bCs/>
                <w:sz w:val="20"/>
                <w:szCs w:val="20"/>
              </w:rPr>
              <w:t xml:space="preserve">Both figures are specified and both are recorded on CF 11.5 for every station</w:t>
            </w:r>
            <w:r>
              <w:rPr>
                <w:rFonts w:ascii="Arial" w:hAnsi="Arial" w:cs="Arial"/>
                <w:sz w:val="20"/>
                <w:szCs w:val="20"/>
              </w:rPr>
              <w:t xml:space="preserve"> - a dose figure recorded without its peak irradiance is an incomplete record</w:t>
            </w:r>
          </w:p>
        </w:tc>
        <w:tc>
          <w:tcPr>
            <w:tcW w:w="2516" w:type="dxa"/>
            <w:vAlign w:val="center"/>
          </w:tcPr>
          <w:p>
            <w:pPr>
              <w:spacing w:before="30" w:after="30"/>
              <w:jc w:val="left"/>
              <w:rPr>
                <w:rFonts w:ascii="Arial" w:hAnsi="Arial" w:cs="Arial"/>
                <w:sz w:val="20"/>
                <w:szCs w:val="20"/>
              </w:rPr>
            </w:pPr>
            <w:r>
              <w:rPr>
                <w:rFonts w:ascii="Arial" w:hAnsi="Arial" w:cs="Arial"/>
                <w:b/>
                <w:bCs/>
                <w:sz w:val="20"/>
                <w:szCs w:val="20"/>
              </w:rPr>
              <w:t xml:space="preserve">The measurement method differs by station, because a belt radiometer puck cannot pass through a printing nip on a sheet-fed press.</w:t>
            </w:r>
            <w:r>
              <w:rPr>
                <w:rFonts w:ascii="Arial" w:hAnsi="Arial" w:cs="Arial"/>
                <w:sz w:val="20"/>
                <w:szCs w:val="20"/>
              </w:rPr>
              <w:t xml:space="preserve"> Interdeck (between-unit) stations: a </w:t>
            </w:r>
            <w:r>
              <w:rPr>
                <w:rFonts w:ascii="Arial" w:hAnsi="Arial" w:cs="Arial"/>
                <w:b/>
                <w:bCs/>
                <w:sz w:val="20"/>
                <w:szCs w:val="20"/>
              </w:rPr>
              <w:t xml:space="preserve">thin interdeck radiometer puck</w:t>
            </w:r>
            <w:r>
              <w:rPr>
                <w:rFonts w:ascii="Arial" w:hAnsi="Arial" w:cs="Arial"/>
                <w:sz w:val="20"/>
                <w:szCs w:val="20"/>
              </w:rPr>
              <w:t xml:space="preserve"> where the press accepts one; where it does not, a </w:t>
            </w:r>
            <w:r>
              <w:rPr>
                <w:rFonts w:ascii="Arial" w:hAnsi="Arial" w:cs="Arial"/>
                <w:b/>
                <w:bCs/>
                <w:sz w:val="20"/>
                <w:szCs w:val="20"/>
              </w:rPr>
              <w:t xml:space="preserve">fixed in-line radiometer or lamp irradiance monitor</w:t>
            </w:r>
            <w:r>
              <w:rPr>
                <w:rFonts w:ascii="Arial" w:hAnsi="Arial" w:cs="Arial"/>
                <w:sz w:val="20"/>
                <w:szCs w:val="20"/>
              </w:rPr>
              <w:t xml:space="preserve"> at the station, verified against the belt radiometer at the annual lamp survey. End-of-press curing station: </w:t>
            </w:r>
            <w:r>
              <w:rPr>
                <w:rFonts w:ascii="Arial" w:hAnsi="Arial" w:cs="Arial"/>
                <w:b/>
                <w:bCs/>
                <w:sz w:val="20"/>
                <w:szCs w:val="20"/>
              </w:rPr>
              <w:t xml:space="preserve">belt radiometer passed through at running press speed</w:t>
            </w:r>
            <w:r>
              <w:rPr>
                <w:rFonts w:ascii="Arial" w:hAnsi="Arial" w:cs="Arial"/>
                <w:sz w:val="20"/>
                <w:szCs w:val="20"/>
              </w:rPr>
              <w:t xml:space="preserve">. The method actually used is recorded against each station on CF 11.5. Radiometers calibrated annually on CF 7.1.5.1</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At first-off, after any lamp change, after any speed change of more than 10 percent, and at least once per shift</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UV lamp elapsed hours</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lamp replaced at not more than 1000 operating hours; reflector cleaned every 250 hours. </w:t>
            </w:r>
            <w:r>
              <w:rPr>
                <w:rFonts w:ascii="Arial" w:hAnsi="Arial" w:cs="Arial"/>
                <w:b/>
                <w:bCs/>
                <w:sz w:val="20"/>
                <w:szCs w:val="20"/>
              </w:rPr>
              <w:t xml:space="preserve">The hour counter is read and written down at every shift change for every lamp</w:t>
            </w:r>
            <w:r>
              <w:rPr>
                <w:rFonts w:ascii="Arial" w:hAnsi="Arial" w:cs="Arial"/>
                <w:sz w:val="20"/>
                <w:szCs w:val="20"/>
              </w:rPr>
              <w:t xml:space="preserve"> - a reading carried forward unread, and then corrected in one step, destroys the record's ability to show when the lamp actually passed its limit</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Press counter read and recorded</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Every shift and at every lamp change</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11.5; CF 19.1</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Cure verification - MEK double rub</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not less than 30 MEK double rubs with no ink or varnish transfer to the pad (method in WI 11.1 section 6, not WI 13.1)</w:t>
            </w:r>
          </w:p>
        </w:tc>
        <w:tc>
          <w:tcPr>
            <w:tcW w:w="2516" w:type="dxa"/>
            <w:vAlign w:val="center"/>
          </w:tcPr>
          <w:p>
            <w:pPr>
              <w:spacing w:before="30" w:after="30"/>
              <w:jc w:val="left"/>
              <w:rPr>
                <w:rFonts w:ascii="Arial" w:hAnsi="Arial" w:cs="Arial"/>
                <w:sz w:val="20"/>
                <w:szCs w:val="20"/>
              </w:rPr>
            </w:pPr>
            <w:r>
              <w:rPr>
                <w:rFonts w:ascii="Arial" w:hAnsi="Arial" w:cs="Arial"/>
                <w:b/>
                <w:bCs/>
                <w:sz w:val="20"/>
                <w:szCs w:val="20"/>
              </w:rPr>
              <w:t xml:space="preserve">The method is WI 11.1 section 6 - an in-house method, reference LM-07. It is NOT in WI 13.1, which is the residual solvent headspace GC method and contains no rub test.</w:t>
            </w:r>
            <w:r>
              <w:rPr>
                <w:rFonts w:ascii="Arial" w:hAnsi="Arial" w:cs="Arial"/>
                <w:sz w:val="20"/>
                <w:szCs w:val="20"/>
              </w:rPr>
              <w:t xml:space="preserve"> The test is performed </w:t>
            </w:r>
            <w:r>
              <w:rPr>
                <w:rFonts w:ascii="Arial" w:hAnsi="Arial" w:cs="Arial"/>
                <w:b/>
                <w:bCs/>
                <w:sz w:val="20"/>
                <w:szCs w:val="20"/>
              </w:rPr>
              <w:t xml:space="preserve">in the laboratory fume cupboard, on a sample taken to the laboratory - never at the press</w:t>
            </w:r>
            <w:r>
              <w:rPr>
                <w:rFonts w:ascii="Arial" w:hAnsi="Arial" w:cs="Arial"/>
                <w:sz w:val="20"/>
                <w:szCs w:val="20"/>
              </w:rPr>
              <w:t xml:space="preserve">: methyl ethyl ketone has a flash point of about minus 6 degrees C and an open-solvent rub test has no place next to hot medium-pressure mercury lamps in a UV press hall. Gloves, eye protection, fume cupboard and the solvent waste route are specified in WI 11.1 section 6</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First-off and every 2 hours, on a sample taken to the laboratory</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Cure verification - thumb twist</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No marking, no tack</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Firm thumb twist on the cured varnish</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At every pile</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Cross-hatch adhesion of varnish to print</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Classification 0 or 1</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Tape and cross-hatch on the cured sheet</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First-off of each job</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Photoinitiator control</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Only photoinitiators permitted by the ink supplier declaration and compatible with the EuPIA exclusion policy; no ITX-based systems</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Supplier declaration verified at approval and annually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At approval and annually</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11.6</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A dose below the limit is not corrected by running the sheets through the cure station a second time. An under-cured print is quarantined and scrapped: re-curing changes the surface without reliably completing the polymerisation, and the migration behaviour of a re-cured print is not characterised.</w:t>
      </w:r>
    </w:p>
    <w:p>
      <w:pPr>
        <w:pStyle w:val="Heading"/>
      </w:pPr>
      <w:r>
        <w:rPr>
          <w:rFonts w:ascii="Arial" w:hAnsi="Arial" w:cs="Arial"/>
          <w:b/>
          <w:bCs/>
          <w:sz w:val="24"/>
          <w:szCs w:val="24"/>
        </w:rPr>
        <w:t xml:space="preserve">6.12	Ink kitchen control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6920"/>
        <w:gridCol w:w="1678"/>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Control</w:t>
            </w:r>
          </w:p>
        </w:tc>
        <w:tc>
          <w:tcPr>
            <w:tcW w:w="692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Rule</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Access</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The ink kitchen is a controlled area. Only personnel authorised for 'ink kitchen operation' on CF 7.2.6 dispense, mix or adjust ink.</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7.2.6</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Receipt</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Every ink, varnish, adhesive and additive is received against CF 11.6, checked for container integrity, batch number and shelf life, and entered in the ink stock record. A product not on CF 11.6 is not accepted into the ink kitchen.</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8.4.5; CF 11.6</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Identification</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Every container, including every mixed and every part-used container, carries a label showing: product name, site code, batch or mix number, customer and job where dedicated, date made or opened, and the expiry date. An unlabelled container is scrapped, not identified from memory.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Mixing</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Mixed to the recorded formulation by weight on a calibrated balance, not by volume and not by eye. The formulation, the component batch numbers, the weights and the mixer's name are recorded.</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8.5.1; CF 11.6</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Colour matching</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A new match is made against the physical colour standard under WI 11.1 and is approved by a second authorised person before it is issued to the press.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11.4; CF 11.6</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Solvent addition (Line A)</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Only the solvent blend specified for the ink series. The quantity added is recorded at every addition. Solvent is never added to correct a colour, only to correct viscosity.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8.5.3</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Shelf life</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Ink and varnish used within the supplier's stated shelf life. Mixed ink used within 30 days of mixing. Two-component adhesive used within the pot life stated on CF 12.1.</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11.6; CF 12.1</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Segregation</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Line A solvent-based inks and Line B low-migration UV inks are stored and handled in separate, marked areas with separate equipment. UV ink is never introduced into a solvent ink circuit or the reverse.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Area marking; CF 7.1.2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Cleaning</w:t>
            </w:r>
          </w:p>
        </w:tc>
        <w:tc>
          <w:tcPr>
            <w:tcW w:w="6920" w:type="dxa"/>
            <w:vAlign w:val="center"/>
          </w:tcPr>
          <w:p>
            <w:pPr>
              <w:spacing w:before="30" w:after="30"/>
              <w:jc w:val="left"/>
              <w:rPr>
                <w:rFonts w:ascii="Arial" w:hAnsi="Arial" w:cs="Arial"/>
                <w:sz w:val="20"/>
                <w:szCs w:val="20"/>
              </w:rPr>
            </w:pPr>
            <w:r>
              <w:rPr>
                <w:rFonts w:ascii="Arial" w:hAnsi="Arial" w:cs="Arial"/>
                <w:sz w:val="20"/>
                <w:szCs w:val="20"/>
              </w:rPr>
              <w:t xml:space="preserve">Mixing vessels, pumps and lines are cleaned and verified visually clean between colours. A cleaning record is kept for every changeover.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bl>
    <w:p>
      <w:pPr>
        <w:spacing w:before="0" w:after="120"/>
      </w:pPr>
    </w:p>
    <w:p>
      <w:pPr>
        <w:pStyle w:val="Heading"/>
      </w:pPr>
      <w:r>
        <w:rPr>
          <w:rFonts w:ascii="Arial" w:hAnsi="Arial" w:cs="Arial"/>
          <w:b/>
          <w:bCs/>
          <w:sz w:val="24"/>
          <w:szCs w:val="24"/>
        </w:rPr>
        <w:t xml:space="preserve">6.13	Ink return and reuse</w:t>
      </w:r>
    </w:p>
    <w:p>
      <w:pPr>
        <w:spacing w:before="120" w:after="240"/>
        <w:jc w:val="both"/>
        <w:rPr>
          <w:rFonts w:ascii="Arial" w:hAnsi="Arial" w:cs="Arial"/>
          <w:sz w:val="22"/>
          <w:szCs w:val="22"/>
        </w:rPr>
      </w:pPr>
      <w:r>
        <w:rPr>
          <w:rFonts w:ascii="Arial" w:hAnsi="Arial" w:cs="Arial"/>
          <w:sz w:val="22"/>
          <w:szCs w:val="22"/>
        </w:rPr>
        <w:t xml:space="preserve">Returned ink is a legitimate and economically important material, and it is also a common cause of colour drift, contamination and food contact nonconformity. It is therefore controlled as a material in its own right.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307"/>
        <w:gridCol w:w="8178"/>
      </w:tblGrid>
      <w:tr>
        <w:trPr>
          <w:tblHeader/>
          <w:cantSplit/>
        </w:trPr>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Rule</w:t>
            </w:r>
          </w:p>
        </w:tc>
        <w:tc>
          <w:tcPr>
            <w:tcW w:w="81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Requirement</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Return route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Ink returned from the press is strained through a 200 micron mesh into a clean, labelled return container the same shift. Ink left in an open duct or tray overnight is waste, not return ink.</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Labelling</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return label shows the colour, the original mix number, the job it came from, the date of return, the accumulated return count and the expiry date (return date plus 30 days).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Segregation</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Return ink is segregated by line, by ink series and by customer product family. Line A solvent ink and Line B UV ink return streams never meet. Ink returned from a job printed with an ink not on CF 11.6 for the receiving job may not be used on that job.</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Maximum inclusion</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Not more than 30 percent return ink by weight in a fresh mix, and not more than three return cycles for any given quantity of ink.</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Prohibited uses</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Return ink is never used for: a first production approval or a press proof; a solid brand colour where the customer specification requires virgin ink; the opaque white base on Line A; or any job for a customer whose specification on CF 16.1 prohibits it.</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Verification before use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Viscosity and colour of the return container are checked against the standard before issue; a drawdown is made and measured under WI 11.1 and must be within dE00 2.0 of the standard before the container is released to the press.</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Disposal</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Return ink beyond its expiry date, beyond three cycles, contaminated, or of unknown origin is disposed of as waste through the licensed route. It is never 'used up' on a job.</w:t>
            </w:r>
          </w:p>
        </w:tc>
      </w:tr>
    </w:tbl>
    <w:p>
      <w:pPr>
        <w:spacing w:before="0" w:after="120"/>
      </w:pPr>
    </w:p>
    <w:p>
      <w:pPr>
        <w:pStyle w:val="Heading"/>
      </w:pPr>
      <w:r>
        <w:rPr>
          <w:rFonts w:ascii="Arial" w:hAnsi="Arial" w:cs="Arial"/>
          <w:b/>
          <w:bCs/>
          <w:sz w:val="24"/>
          <w:szCs w:val="24"/>
        </w:rPr>
        <w:t xml:space="preserve">6.14	The approved ink, varnish and adhesive list</w:t>
      </w:r>
    </w:p>
    <w:p>
      <w:pPr>
        <w:spacing w:before="120" w:after="240"/>
        <w:jc w:val="both"/>
        <w:rPr>
          <w:rFonts w:ascii="Arial" w:hAnsi="Arial" w:cs="Arial"/>
          <w:sz w:val="22"/>
          <w:szCs w:val="22"/>
        </w:rPr>
      </w:pPr>
      <w:r>
        <w:rPr>
          <w:rFonts w:ascii="Arial" w:hAnsi="Arial" w:cs="Arial"/>
          <w:sz w:val="22"/>
          <w:szCs w:val="22"/>
        </w:rPr>
        <w:t xml:space="preserve">CF 11.6 Approved Ink Varnish and Adhesive List is the single authority for what may be applied to a food contact packaging material at this site. Nothing is used that is not on it.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7759"/>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Requirement for listing</w:t>
            </w:r>
          </w:p>
        </w:tc>
        <w:tc>
          <w:tcPr>
            <w:tcW w:w="775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Evidence required before a product is added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Supplier declaration of compliance</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A current written declaration from the manufacturer that the product is suitable for the stated application on food contact packaging, naming the regulations addressed, the conditions of use, the substrate and the maximum coat weight.</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EuPIA exclusion policy compliance</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A written statement that the product is formulated in accordance with the EuPIA Exclusion Policy: no substance classified carcinogenic, mutagenic or toxic for reproduction category 1A or 1B, no substance on the exclusion list, and raw materials selected from the EuPIA inventory or equivalent assessed list.</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Low-migration formulation</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For every product applied to Line A and Line B food packaging: a statement that the product is a low-migration formulation for the intended application, with the supporting migration data or a worst-case calculation for the stated structure, food type and conditions of use.</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Swiss Ordinance Annex 10 position</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Confirmation of the status of the constituent substances against the Swiss Ordinance list of substances permitted in food contact printing inks, where the customer or the country of sale requires it.</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Photoinitiator and additive detail (UV systems)</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Identity and status of the photoinitiators, amine synergists and photoactive additives, including a statement that no ITX and no benzophenone is used where the customer prohibits them.</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Set-off and migration behaviour</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Supplier data or site test data showing behaviour under the site's actual cure or dry condition, stacking and reel storage.</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Safety data sheet</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Current safety data sheet held; not a substitute for the food contact declaration.</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Review</w:t>
            </w:r>
          </w:p>
        </w:tc>
        <w:tc>
          <w:tcPr>
            <w:tcW w:w="7759" w:type="dxa"/>
            <w:vAlign w:val="center"/>
          </w:tcPr>
          <w:p>
            <w:pPr>
              <w:spacing w:before="30" w:after="30"/>
              <w:jc w:val="left"/>
              <w:rPr>
                <w:rFonts w:ascii="Arial" w:hAnsi="Arial" w:cs="Arial"/>
                <w:sz w:val="20"/>
                <w:szCs w:val="20"/>
              </w:rPr>
            </w:pPr>
            <w:r>
              <w:rPr>
                <w:rFonts w:ascii="Arial" w:hAnsi="Arial" w:cs="Arial"/>
                <w:sz w:val="20"/>
                <w:szCs w:val="20"/>
              </w:rPr>
              <w:t xml:space="preserve">Every entry re-verified annually and on any reformulation, supplier change or regulatory change. An entry with an expired declaration is suspended on the list, and the affected products are reviewed for release status.</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A proposal to use a product that is not on CF 11.6 is handled as a design change under PRO 8.3 and CF 8.3.6, not as a purchasing decision. Procurement cannot approve an ink.</w:t>
      </w:r>
    </w:p>
    <w:p>
      <w:pPr>
        <w:pStyle w:val="Heading"/>
      </w:pPr>
      <w:r>
        <w:rPr>
          <w:rFonts w:ascii="Arial" w:hAnsi="Arial" w:cs="Arial"/>
          <w:b/>
          <w:bCs/>
          <w:sz w:val="24"/>
          <w:szCs w:val="24"/>
        </w:rPr>
        <w:t xml:space="preserve">6.15	Line clearance and the control of obsolete cylinders and plates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887"/>
        <w:gridCol w:w="5452"/>
        <w:gridCol w:w="1887"/>
        <w:gridCol w:w="1259"/>
      </w:tblGrid>
      <w:tr>
        <w:trPr>
          <w:tblHeader/>
          <w:cantSplit/>
        </w:trPr>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545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Requirement</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Who</w:t>
            </w:r>
          </w:p>
        </w:tc>
        <w:tc>
          <w:tcPr>
            <w:tcW w:w="125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Line clearance at every changeover</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Every cylinder, plate, die, ink container, varnish container, adhesive, part reel, part pallet, printed waste, label, pallet card and item of paperwork from the previous job removed from the press, the ink station and the surrounding area. The line is walked from unwind to rewind, or feeder to delivery.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Printer, verified independently by a second person; both sign</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8.5.2; WI 8.5.1</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Return of tooling to store</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Cylinders and plates returned to the store the same shift, checked for damage, and booked back in against their register entry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11.2; CF 19.2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Declaring a version obsolete</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When a new artwork version is approved, the superseded cylinder set or plate set is marked OBSOLETE on CF 11.2 on the same day and physically moved to the quarantine rack, which is marked and separate from the live rack</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Customer instruction</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For customer-owned tooling, the customer is asked in writing what is to be done with the obsolete set, and the instruction is retained</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Sales and Customer Service Manager</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8.5.5; CF 11.2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Disposal</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Site-owned obsolete cylinders are de-chromed and the copper skimmed so the image cannot be printed again, or are scrapped through the licensed metal route. Obsolete plates are cut through the image area before scrapping. Disposal is witnessed by a second person and both sign the register entry.</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Engineering / Maintenance Manager</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11.2; CF 19.2</w:t>
            </w:r>
          </w:p>
        </w:tc>
      </w:tr>
      <w:tr>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Verification</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A quarterly reconciliation of the live rack against CF 11.2 confirms that no obsolete cylinder or plate remains in the live rack and that every live entry is physically present</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1259" w:type="dxa"/>
            <w:vAlign w:val="center"/>
          </w:tcPr>
          <w:p>
            <w:pPr>
              <w:spacing w:before="30" w:after="30"/>
              <w:jc w:val="left"/>
              <w:rPr>
                <w:rFonts w:ascii="Arial" w:hAnsi="Arial" w:cs="Arial"/>
                <w:sz w:val="20"/>
                <w:szCs w:val="20"/>
              </w:rPr>
            </w:pPr>
            <w:r>
              <w:rPr>
                <w:rFonts w:ascii="Arial" w:hAnsi="Arial" w:cs="Arial"/>
                <w:sz w:val="20"/>
                <w:szCs w:val="20"/>
              </w:rPr>
              <w:t xml:space="preserve">CF 11.2; CF 9.2.3</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An obsolete cylinder left in the live rack is the most direct route to printing superseded legal text. The obsolete marking, the physical move and the quarterly reconciliation are all three required; none of them alone is sufficient.</w:t>
      </w:r>
    </w:p>
    <w:p>
      <w:pPr>
        <w:pStyle w:val="Heading"/>
      </w:pPr>
      <w:r>
        <w:rPr>
          <w:rFonts w:ascii="Arial" w:hAnsi="Arial" w:cs="Arial"/>
          <w:b/>
          <w:bCs/>
          <w:sz w:val="24"/>
          <w:szCs w:val="24"/>
        </w:rPr>
        <w:t xml:space="preserve">7.	MONITORING AND VERIFICATION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2936"/>
        <w:gridCol w:w="1678"/>
        <w:gridCol w:w="1678"/>
        <w:gridCol w:w="1467"/>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What is verified</w:t>
            </w:r>
          </w:p>
        </w:tc>
        <w:tc>
          <w:tcPr>
            <w:tcW w:w="293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How</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Frequency</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By whom</w:t>
            </w:r>
          </w:p>
        </w:tc>
        <w:tc>
          <w:tcPr>
            <w:tcW w:w="146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Every job ran on the approved artwork version</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Compare the cylinder or plate numbers recorded on CF 8.5.2 with the live version on CF 11.2 and with the approved version on CF 11.1, for five completed jobs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Quarterly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Internal Auditor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9.2.3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The two-person text check was genuinely two people</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Confirm two different authorised names and two times on CF 11.3; confirm neither is the artwork originator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Every artwork; audited quarterly on a sample of five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11.3; CF 9.2.3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Customer written approval preceded tooling</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Compare the date of the customer approval on CF 11.1 with the date of the engraving or plate order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Every new artwork</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11.1</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Colour readings are taken at the stated frequency and are real</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Check CF 11.4 for completed 30 minute intervals and for actual numeric values; compare a retained sample re-measured in the laboratory with the recorded press value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Weekly sample of three jobs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11.4; CF 13.2</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The spectrophotometer, densitometer, radiometer and register microscope are within calibration and agree</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Verification tile read daily; inter-instrument comparison monthly; annual calibration</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Daily, monthly, annually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Laboratory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7.1.5.1; CF 7.1.5.2</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Colour measurement capability is adequate for the tolerance</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Gauge R and R on the spectrophotometer against the dE00 tolerance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Annually and on any instrument change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Laboratory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15.1; PRO 15</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UV dose and rub results are recorded per station with actual figures</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Review CF 11.5 for the period; confirm lamp hours are within limit</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Weekly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Only approved inks, varnishes and adhesives are in use</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Walk the ink kitchen and the presses and compare every container against CF 11.6</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Monthly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11.6; CF 9.2.3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Return ink rules are being followed</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Sample five return containers for label completeness, cycle count and expiry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Monthly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11.6</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No obsolete cylinder or plate is in the live rack</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Physical reconciliation of the rack against CF 11.2</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Quarterly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11.2</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Print quality performance is improving</w:t>
            </w:r>
          </w:p>
        </w:tc>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Trend colour and print-related complaints, first-off rejection rate and print waste percentage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Monthly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9.1.1; CF 9.1.5; CF 20.1</w:t>
            </w:r>
          </w:p>
        </w:tc>
      </w:tr>
    </w:tbl>
    <w:p>
      <w:pPr>
        <w:spacing w:before="0" w:after="120"/>
      </w:pPr>
    </w:p>
    <w:p>
      <w:pPr>
        <w:pStyle w:val="Heading"/>
      </w:pPr>
      <w:r>
        <w:rPr>
          <w:rFonts w:ascii="Arial" w:hAnsi="Arial" w:cs="Arial"/>
          <w:b/>
          <w:bCs/>
          <w:sz w:val="24"/>
          <w:szCs w:val="24"/>
        </w:rPr>
        <w:t xml:space="preserve">8.	RECORDS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5242"/>
        <w:gridCol w:w="2621"/>
        <w:gridCol w:w="2622"/>
      </w:tblGrid>
      <w:tr>
        <w:trPr>
          <w:tblHeader/>
          <w:cantSplit/>
        </w:trPr>
        <w:tc>
          <w:tcPr>
            <w:tcW w:w="524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c>
          <w:tcPr>
            <w:tcW w:w="262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Owner</w:t>
            </w:r>
          </w:p>
        </w:tc>
        <w:tc>
          <w:tcPr>
            <w:tcW w:w="26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Retention</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11.1 Artwork Approval Record and the customer written approval</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11.2 Cylinder and Plate Version Register</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11.3 Proof Approval and Text Check Record</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Pre-press and Artwork Coordinator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11.4 Colour and Register Check Record</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11.5 UV Cure Dose and Rub Test Log</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11.6 Approved Ink Varnish and Adhesive List and the supporting declarations</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Retained approved sample per artwork version</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RA 11 Print Quality Risk Assessment</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bl>
    <w:p>
      <w:pPr>
        <w:spacing w:before="0" w:after="120"/>
      </w:pPr>
    </w:p>
    <w:p>
      <w:pPr>
        <w:pStyle w:val="Heading"/>
      </w:pPr>
      <w:r>
        <w:rPr>
          <w:rFonts w:ascii="Arial" w:hAnsi="Arial" w:cs="Arial"/>
          <w:b/>
          <w:bCs/>
          <w:sz w:val="24"/>
          <w:szCs w:val="24"/>
        </w:rPr>
        <w:t xml:space="preserve">9.	REVISION HISTORY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629"/>
        <w:gridCol w:w="1258"/>
        <w:gridCol w:w="4823"/>
        <w:gridCol w:w="1887"/>
        <w:gridCol w:w="1888"/>
      </w:tblGrid>
      <w:tr>
        <w:trPr>
          <w:tblHeader/>
          <w:cantSplit/>
        </w:trPr>
        <w:tc>
          <w:tcPr>
            <w:tcW w:w="62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w:t>
            </w:r>
          </w:p>
        </w:tc>
        <w:tc>
          <w:tcPr>
            <w:tcW w:w="125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c>
          <w:tcPr>
            <w:tcW w:w="482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Description of Change</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Compiled by</w:t>
            </w:r>
          </w:p>
        </w:tc>
        <w:tc>
          <w:tcPr>
            <w:tcW w:w="188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00</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Initial issue aligned to ISO 9001:2026 for food contact packaging manufacturing</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01</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Issued into the ISO 9001:2026 Packaging Quality Toolkit with references, responsibilities and records sections complete</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bl>
    <w:p>
      <w:pPr>
        <w:spacing w:before="0" w:after="120"/>
      </w:pPr>
    </w:p>
    <w:p>
      <w:pPr>
        <w:pStyle w:val="Heading"/>
      </w:pPr>
      <w:r>
        <w:rPr>
          <w:rFonts w:ascii="Arial" w:hAnsi="Arial" w:cs="Arial"/>
          <w:b/>
          <w:bCs/>
          <w:sz w:val="24"/>
          <w:szCs w:val="24"/>
        </w:rPr>
        <w:t xml:space="preserve">10.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4194"/>
        <w:gridCol w:w="2516"/>
        <w:gridCol w:w="2307"/>
        <w:gridCol w:w="1468"/>
      </w:tblGrid>
      <w:tr>
        <w:trPr>
          <w:tblHeader/>
          <w:cantSplit/>
        </w:trPr>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Reviewed by - Quality Management Representative</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Approved by - General Manager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Authorised by - Managing Director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1907" w:h="16840" w:code="9"/>
      <w:pgMar w:top="567" w:right="567" w:bottom="567" w:left="567"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828"/>
      <w:gridCol w:w="2835"/>
      <w:gridCol w:w="1559"/>
    </w:tblGrid>
    <w:tr w:rsidR="00871814" w:rsidRPr="00871814" w14:paraId="02C9E39E" w14:textId="77777777" w:rsidTr="009F616E">
      <w:trPr>
        <w:cantSplit/>
        <w:trHeight w:hRule="atLeast" w:val="1077"/>
      </w:trPr>
      <w:tc>
        <w:tcPr>
          <w:tcW w:w="2263"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38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2835"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PRO 11</w:t>
          </w:r>
          <w:r w:rsidRPr="00871814">
            <w:rPr>
              <w:rFonts w:ascii="Arial" w:hAnsi="Arial" w:cs="Arial"/>
              <w:sz w:val="22"/>
              <w:szCs w:val="22"/>
            </w:rPr>
          </w:r>
          <w:r>
            <w:rPr>
              <w:rFonts w:ascii="Arial" w:hAnsi="Arial" w:cs="Arial"/>
              <w:sz w:val="22"/>
              <w:szCs w:val="22"/>
            </w:rPr>
          </w:r>
        </w:p>
      </w:tc>
      <w:tc>
        <w:tcPr>
          <w:tcW w:w="1559"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0485"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Artwork Print and Colour Quality Control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2263"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38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General Manager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2835"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1559"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