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UNDERSTANDING THE ORGANIZATION AND ITS CONTEXT PROCEDURE</w:t>
      </w:r>
    </w:p>
    <w:p>
      <w:pPr>
        <w:pStyle w:val="Heading"/>
      </w:pPr>
      <w:r>
        <w:rPr>
          <w:rFonts w:ascii="Arial" w:hAnsi="Arial" w:cs="Arial"/>
          <w:b/>
          <w:bCs/>
          <w:sz w:val="24"/>
          <w:szCs w:val="24"/>
        </w:rPr>
        <w:t xml:space="preserve">1.	PURPOSE</w:t>
      </w:r>
    </w:p>
    <w:p>
      <w:pPr>
        <w:spacing w:before="120" w:after="240"/>
        <w:jc w:val="both"/>
        <w:rPr>
          <w:rFonts w:ascii="Arial" w:hAnsi="Arial" w:cs="Arial"/>
          <w:sz w:val="22"/>
          <w:szCs w:val="22"/>
        </w:rPr>
      </w:pPr>
      <w:r>
        <w:rPr>
          <w:rFonts w:ascii="Arial" w:hAnsi="Arial" w:cs="Arial"/>
          <w:sz w:val="22"/>
          <w:szCs w:val="22"/>
        </w:rPr>
        <w:t xml:space="preserve">This procedure defines how [COMPANY NAME] determines, monitors and reviews the external and internal issues that are relevant to its purpose and strategic direction and that affect its ability to achieve the intended results of the Quality Management System (QMS), in accordance with ISO 9001:2026 clause 4.1. It also defines how the organization determines whether climate change is a relevant issue, which is a requirement introduced at clause 4.1 in the 2026 edition.</w:t>
      </w:r>
    </w:p>
    <w:p>
      <w:pPr>
        <w:pStyle w:val="Heading"/>
      </w:pPr>
      <w:r>
        <w:rPr>
          <w:rFonts w:ascii="Arial" w:hAnsi="Arial" w:cs="Arial"/>
          <w:b/>
          <w:bCs/>
          <w:sz w:val="24"/>
          <w:szCs w:val="24"/>
        </w:rPr>
        <w:t xml:space="preserve">2.	SCOPE</w:t>
      </w:r>
    </w:p>
    <w:p>
      <w:pPr>
        <w:spacing w:before="120" w:after="240"/>
        <w:jc w:val="both"/>
        <w:rPr>
          <w:rFonts w:ascii="Arial" w:hAnsi="Arial" w:cs="Arial"/>
          <w:sz w:val="22"/>
          <w:szCs w:val="22"/>
        </w:rPr>
      </w:pPr>
      <w:r>
        <w:rPr>
          <w:rFonts w:ascii="Arial" w:hAnsi="Arial" w:cs="Arial"/>
          <w:sz w:val="22"/>
          <w:szCs w:val="22"/>
        </w:rPr>
        <w:t xml:space="preserve">This procedure applies to the whole of the food contact packaging manufacturing site, covering both worked production streams: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Line A - printed flexible laminate: reverse gravure printing on 12 micron PET with solvent-based nitrocellulose / polyurethane inks, solvent-based two-component polyurethane adhesive lamination to 50 micron PE sealant film, 72 hour cure, slitting and reel finishing. Supplied to brand owners for chilled sliced cooked meats and cheese.</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Line B - folding carton: sheet-fed UV offset printing on 300 g/m2 barrier-coated virgin folding boxboard, UV varnish, die-cutting, stripping, folding and gluing, packed flat in cartons. Supplied to brand owners for dry foods (rice, pasta, breakfast cereal).</w:t>
      </w:r>
    </w:p>
    <w:p>
      <w:pPr>
        <w:spacing w:before="120" w:after="240"/>
        <w:jc w:val="both"/>
        <w:rPr>
          <w:rFonts w:ascii="Arial" w:hAnsi="Arial" w:cs="Arial"/>
          <w:sz w:val="22"/>
          <w:szCs w:val="22"/>
        </w:rPr>
      </w:pPr>
      <w:r>
        <w:rPr>
          <w:rFonts w:ascii="Arial" w:hAnsi="Arial" w:cs="Arial"/>
          <w:sz w:val="22"/>
          <w:szCs w:val="22"/>
        </w:rPr>
        <w:t xml:space="preserve">It applies to the external issues arising from the legal, regulatory, market, technological, competitive, economic, social, climatic and supply chain environment in which the site operates, and to the internal issues arising from the site's own values, culture, knowledge, performance, resources, infrastructure and organizational structure.</w:t>
      </w:r>
    </w:p>
    <w:p>
      <w:pPr>
        <w:pStyle w:val="Heading"/>
      </w:pPr>
      <w:r>
        <w:rPr>
          <w:rFonts w:ascii="Arial" w:hAnsi="Arial" w:cs="Arial"/>
          <w:b/>
          <w:bCs/>
          <w:sz w:val="24"/>
          <w:szCs w:val="24"/>
        </w:rPr>
        <w:t xml:space="preserve">3.	REFERENCES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9001:2026 clause 4.1 Understanding the organization and its context, including the requirement to determine whether climate change is a relevant issue.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9001:2026 clause 4.2 Understanding the needs and expectations of interested parties; clause 6.1 Actions to address risks and opportunities; clause 9.3 Management review.</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9000 Quality management systems - Fundamentals and vocabulary (cited undated in ISO 9001:2026, so the latest edition applies).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ISO 9004:2018 Guidance to achieve sustained success, Annex A self-assessment.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Regulation (EC) No 1935/2004 on materials and articles intended to come into contact with food; Regulation (EU) No 10/2011 on plastic food contact materials; Regulation (EC) No 2023/2006 on good manufacturing practice; FDA 21 CFR Parts 174 to 179, as applicable to the countries of sale.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PRO 4.2 Understanding Interested Parties; PRO 4.3 Determining the Scope of the QMS; PRO 4.4 Quality Management System and its Processes; PRO 6.1 Actions to Address Risks and Opportunities; PRO 9.3 Management Review.</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CF 4.1.1 SWOT Analysis Form; CF 4.1.2 PESTLE Analysis Form; CF 4.1.3 Climate Change Relevance Determination; RA 4.1 Context Risk Assessment (Excel); CF 6.1.1 Risk Register; CF 6.1.2 Opportunity Register.</w:t>
      </w:r>
    </w:p>
    <w:p>
      <w:pPr>
        <w:pStyle w:val="Heading"/>
      </w:pPr>
      <w:r>
        <w:rPr>
          <w:rFonts w:ascii="Arial" w:hAnsi="Arial" w:cs="Arial"/>
          <w:b/>
          <w:bCs/>
          <w:sz w:val="24"/>
          <w:szCs w:val="24"/>
        </w:rPr>
        <w:t xml:space="preserve">4.	DEFINITIONS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307"/>
        <w:gridCol w:w="8178"/>
      </w:tblGrid>
      <w:tr>
        <w:trPr>
          <w:tblHeader/>
          <w:cantSplit/>
        </w:trPr>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Term</w:t>
            </w:r>
          </w:p>
        </w:tc>
        <w:tc>
          <w:tcPr>
            <w:tcW w:w="81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Definition as used in this procedure</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Context</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combination of external and internal issues that can have an effect on the organization's approach to developing and achieving its quality objectives (ISO 9000).</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External issue</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An issue arising outside the organization that it does not control, for example a change to a food contact regulation, a raw material shortage, a customer consolidation, a new printing technology or a climate-driven disruption to supply.</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Internal issue</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An issue arising inside the organization, for example the age and capability of the presses, the depth of the ink technology knowledge held by two people, the quality culture on night shift, or the profitability of a product group.</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Relevant issue</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An issue that, if it changed, would measurably change the organization's ability to deliver conforming packaging on time or to achieve a quality objective. Relevance is decided by the management review team and recorded with a reason.</w:t>
            </w:r>
          </w:p>
        </w:tc>
      </w:tr>
      <w:tr>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Strategic direction</w:t>
            </w:r>
          </w:p>
        </w:tc>
        <w:tc>
          <w:tcPr>
            <w:tcW w:w="8178" w:type="dxa"/>
            <w:vAlign w:val="center"/>
          </w:tcPr>
          <w:p>
            <w:pPr>
              <w:spacing w:before="30" w:after="30"/>
              <w:jc w:val="left"/>
              <w:rPr>
                <w:rFonts w:ascii="Arial" w:hAnsi="Arial" w:cs="Arial"/>
                <w:sz w:val="20"/>
                <w:szCs w:val="20"/>
              </w:rPr>
            </w:pPr>
            <w:r>
              <w:rPr>
                <w:rFonts w:ascii="Arial" w:hAnsi="Arial" w:cs="Arial"/>
                <w:sz w:val="20"/>
                <w:szCs w:val="20"/>
              </w:rPr>
              <w:t xml:space="preserve">The direction set by the Managing Director in the business plan: the markets served, the product groups, the growth and investment intentions and the values of the business.</w:t>
            </w:r>
          </w:p>
        </w:tc>
      </w:tr>
    </w:tbl>
    <w:p>
      <w:pPr>
        <w:spacing w:before="0" w:after="120"/>
      </w:pPr>
    </w:p>
    <w:p>
      <w:pPr>
        <w:pStyle w:val="Heading"/>
      </w:pPr>
      <w:r>
        <w:rPr>
          <w:rFonts w:ascii="Arial" w:hAnsi="Arial" w:cs="Arial"/>
          <w:b/>
          <w:bCs/>
          <w:sz w:val="24"/>
          <w:szCs w:val="24"/>
        </w:rPr>
        <w:t xml:space="preserve">5.	RESPONSIBILITIES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3355"/>
        <w:gridCol w:w="7130"/>
      </w:tblGrid>
      <w:tr>
        <w:trPr>
          <w:tblHeader/>
          <w:cantSplit/>
        </w:trPr>
        <w:tc>
          <w:tcPr>
            <w:tcW w:w="335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7130"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Responsibility under this procedure</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Managing Director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the Quality Policy (POL 01) and the quality culture and ethical behaviour policy (POL 02); chairs the annual strategic review; provides the resources.</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Accountable for the QMS as a whole; chairs the management review; approves procedures; owns the site quality objectives.</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Quality Manager (Quality Management Representative, QMR)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Establishes, maintains and improves the QMS; owns the process map, the risk and opportunity registers, the internal audit programme, the corrective action system and the QMS performance report.</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Engineering / Maintenance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infrastructure, tooling, cylinders, dies and the maintenance programme that keeps process capability.</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Procurement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supplier approval, evaluation and re-evaluation and the purchasing information.</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Sales and Customer Service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the customer interface: enquiry and contract review, customer-specific requirements, complaints and satisfaction.</w:t>
            </w:r>
          </w:p>
        </w:tc>
      </w:tr>
      <w:tr>
        <w:tc>
          <w:tcPr>
            <w:tcW w:w="3355" w:type="dxa"/>
            <w:vAlign w:val="center"/>
          </w:tcPr>
          <w:p>
            <w:pPr>
              <w:spacing w:before="30" w:after="30"/>
              <w:jc w:val="left"/>
              <w:rPr>
                <w:rFonts w:ascii="Arial" w:hAnsi="Arial" w:cs="Arial"/>
                <w:sz w:val="20"/>
                <w:szCs w:val="20"/>
              </w:rPr>
            </w:pPr>
            <w:r>
              <w:rPr>
                <w:rFonts w:ascii="Arial" w:hAnsi="Arial" w:cs="Arial"/>
                <w:sz w:val="20"/>
                <w:szCs w:val="20"/>
              </w:rPr>
              <w:t xml:space="preserve">Design and Development Manager</w:t>
            </w:r>
          </w:p>
        </w:tc>
        <w:tc>
          <w:tcPr>
            <w:tcW w:w="7130" w:type="dxa"/>
            <w:vAlign w:val="center"/>
          </w:tcPr>
          <w:p>
            <w:pPr>
              <w:spacing w:before="30" w:after="30"/>
              <w:jc w:val="left"/>
              <w:rPr>
                <w:rFonts w:ascii="Arial" w:hAnsi="Arial" w:cs="Arial"/>
                <w:sz w:val="20"/>
                <w:szCs w:val="20"/>
              </w:rPr>
            </w:pPr>
            <w:r>
              <w:rPr>
                <w:rFonts w:ascii="Arial" w:hAnsi="Arial" w:cs="Arial"/>
                <w:sz w:val="20"/>
                <w:szCs w:val="20"/>
              </w:rPr>
              <w:t xml:space="preserve">Owns new product and structure development, design reviews, verification, validation and design changes.</w:t>
            </w:r>
          </w:p>
        </w:tc>
      </w:tr>
    </w:tbl>
    <w:p>
      <w:pPr>
        <w:spacing w:before="0" w:after="120"/>
      </w:pPr>
    </w:p>
    <w:p>
      <w:pPr>
        <w:pStyle w:val="Heading"/>
      </w:pPr>
      <w:r>
        <w:rPr>
          <w:rFonts w:ascii="Arial" w:hAnsi="Arial" w:cs="Arial"/>
          <w:b/>
          <w:bCs/>
          <w:sz w:val="24"/>
          <w:szCs w:val="24"/>
        </w:rPr>
        <w:t xml:space="preserve">6.	PROCEDURE</w:t>
      </w:r>
    </w:p>
    <w:p>
      <w:pPr>
        <w:pStyle w:val="Heading"/>
      </w:pPr>
      <w:r>
        <w:rPr>
          <w:rFonts w:ascii="Arial" w:hAnsi="Arial" w:cs="Arial"/>
          <w:b/>
          <w:bCs/>
          <w:sz w:val="24"/>
          <w:szCs w:val="24"/>
        </w:rPr>
        <w:t xml:space="preserve">6.1	When the context is determined and reviewed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726"/>
        <w:gridCol w:w="3775"/>
        <w:gridCol w:w="2097"/>
        <w:gridCol w:w="1887"/>
      </w:tblGrid>
      <w:tr>
        <w:trPr>
          <w:tblHeader/>
          <w:cantSplit/>
        </w:trPr>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Trigger</w:t>
            </w:r>
          </w:p>
        </w:tc>
        <w:tc>
          <w:tcPr>
            <w:tcW w:w="377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What is done</w:t>
            </w:r>
          </w:p>
        </w:tc>
        <w:tc>
          <w:tcPr>
            <w:tcW w:w="209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Who</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Annually, at least 30 days before the management review</w:t>
            </w:r>
          </w:p>
        </w:tc>
        <w:tc>
          <w:tcPr>
            <w:tcW w:w="3775" w:type="dxa"/>
            <w:vAlign w:val="center"/>
          </w:tcPr>
          <w:p>
            <w:pPr>
              <w:spacing w:before="30" w:after="30"/>
              <w:jc w:val="left"/>
              <w:rPr>
                <w:rFonts w:ascii="Arial" w:hAnsi="Arial" w:cs="Arial"/>
                <w:sz w:val="20"/>
                <w:szCs w:val="20"/>
              </w:rPr>
            </w:pPr>
            <w:r>
              <w:rPr>
                <w:rFonts w:ascii="Arial" w:hAnsi="Arial" w:cs="Arial"/>
                <w:sz w:val="20"/>
                <w:szCs w:val="20"/>
              </w:rPr>
              <w:t xml:space="preserve">Full re-work of the SWOT and PESTLE and of the climate change relevance determination; RA 4.1 re-scored</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QMR with the management team</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CF 4.1.1; CF 4.1.2; CF 4.1.3; RA 4.1</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A change to a food contact regulation or a national implementing measure in a country of sale</w:t>
            </w:r>
          </w:p>
        </w:tc>
        <w:tc>
          <w:tcPr>
            <w:tcW w:w="3775" w:type="dxa"/>
            <w:vAlign w:val="center"/>
          </w:tcPr>
          <w:p>
            <w:pPr>
              <w:spacing w:before="30" w:after="30"/>
              <w:jc w:val="left"/>
              <w:rPr>
                <w:rFonts w:ascii="Arial" w:hAnsi="Arial" w:cs="Arial"/>
                <w:sz w:val="20"/>
                <w:szCs w:val="20"/>
              </w:rPr>
            </w:pPr>
            <w:r>
              <w:rPr>
                <w:rFonts w:ascii="Arial" w:hAnsi="Arial" w:cs="Arial"/>
                <w:sz w:val="20"/>
                <w:szCs w:val="20"/>
              </w:rPr>
              <w:t xml:space="preserve">Targeted review of the legal and regulatory issue set; CF 7.5.4 updated; affected specifications and Declarations of Compliance reviewed</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Quality Manager with the Technical function</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CF 4.1.2; CF 7.5.3</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Loss or gain of a customer representing more than 10 percent of turnover, or a change of ownership at a major customer</w:t>
            </w:r>
          </w:p>
        </w:tc>
        <w:tc>
          <w:tcPr>
            <w:tcW w:w="3775" w:type="dxa"/>
            <w:vAlign w:val="center"/>
          </w:tcPr>
          <w:p>
            <w:pPr>
              <w:spacing w:before="30" w:after="30"/>
              <w:jc w:val="left"/>
              <w:rPr>
                <w:rFonts w:ascii="Arial" w:hAnsi="Arial" w:cs="Arial"/>
                <w:sz w:val="20"/>
                <w:szCs w:val="20"/>
              </w:rPr>
            </w:pPr>
            <w:r>
              <w:rPr>
                <w:rFonts w:ascii="Arial" w:hAnsi="Arial" w:cs="Arial"/>
                <w:sz w:val="20"/>
                <w:szCs w:val="20"/>
              </w:rPr>
              <w:t xml:space="preserve">Review of the market and customer issue set and of the capacity and product mix assumptions</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General Manager and Sales and Customer Service Manager</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CF 4.1.1; minutes</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A single-source raw material becomes unavailable or is reformulated (for example an ink series, an adhesive or a board grade)</w:t>
            </w:r>
          </w:p>
        </w:tc>
        <w:tc>
          <w:tcPr>
            <w:tcW w:w="3775" w:type="dxa"/>
            <w:vAlign w:val="center"/>
          </w:tcPr>
          <w:p>
            <w:pPr>
              <w:spacing w:before="30" w:after="30"/>
              <w:jc w:val="left"/>
              <w:rPr>
                <w:rFonts w:ascii="Arial" w:hAnsi="Arial" w:cs="Arial"/>
                <w:sz w:val="20"/>
                <w:szCs w:val="20"/>
              </w:rPr>
            </w:pPr>
            <w:r>
              <w:rPr>
                <w:rFonts w:ascii="Arial" w:hAnsi="Arial" w:cs="Arial"/>
                <w:sz w:val="20"/>
                <w:szCs w:val="20"/>
              </w:rPr>
              <w:t xml:space="preserve">Review of the supply chain issue set; RA 4.1 and RA 8.4 rescored; alternative qualification started under PRO 8.3</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Procurement Manager and QMR</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RA 4.1; CF 8.3.2</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A significant investment, relocation, new line or new process technology</w:t>
            </w:r>
          </w:p>
        </w:tc>
        <w:tc>
          <w:tcPr>
            <w:tcW w:w="3775" w:type="dxa"/>
            <w:vAlign w:val="center"/>
          </w:tcPr>
          <w:p>
            <w:pPr>
              <w:spacing w:before="30" w:after="30"/>
              <w:jc w:val="left"/>
              <w:rPr>
                <w:rFonts w:ascii="Arial" w:hAnsi="Arial" w:cs="Arial"/>
                <w:sz w:val="20"/>
                <w:szCs w:val="20"/>
              </w:rPr>
            </w:pPr>
            <w:r>
              <w:rPr>
                <w:rFonts w:ascii="Arial" w:hAnsi="Arial" w:cs="Arial"/>
                <w:sz w:val="20"/>
                <w:szCs w:val="20"/>
              </w:rPr>
              <w:t xml:space="preserve">Full context review before the change is authorised</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CF 4.1.1; CF 6.3.1</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A climate-related event that disrupts the site, a supplier or a customer (flood, heat event, water restriction, energy curtailment, storm damage to transport)</w:t>
            </w:r>
          </w:p>
        </w:tc>
        <w:tc>
          <w:tcPr>
            <w:tcW w:w="3775" w:type="dxa"/>
            <w:vAlign w:val="center"/>
          </w:tcPr>
          <w:p>
            <w:pPr>
              <w:spacing w:before="30" w:after="30"/>
              <w:jc w:val="left"/>
              <w:rPr>
                <w:rFonts w:ascii="Arial" w:hAnsi="Arial" w:cs="Arial"/>
                <w:sz w:val="20"/>
                <w:szCs w:val="20"/>
              </w:rPr>
            </w:pPr>
            <w:r>
              <w:rPr>
                <w:rFonts w:ascii="Arial" w:hAnsi="Arial" w:cs="Arial"/>
                <w:sz w:val="20"/>
                <w:szCs w:val="20"/>
              </w:rPr>
              <w:t xml:space="preserve">Climate relevance determination re-run; business continuity arrangements reviewed</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General Manager and QMR</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CF 4.1.3; PRO 3.4 Resilience and Business Continuity</w:t>
            </w:r>
          </w:p>
        </w:tc>
      </w:tr>
    </w:tbl>
    <w:p>
      <w:pPr>
        <w:spacing w:before="0" w:after="120"/>
      </w:pPr>
    </w:p>
    <w:p>
      <w:pPr>
        <w:pStyle w:val="Heading"/>
      </w:pPr>
      <w:r>
        <w:rPr>
          <w:rFonts w:ascii="Arial" w:hAnsi="Arial" w:cs="Arial"/>
          <w:b/>
          <w:bCs/>
          <w:sz w:val="24"/>
          <w:szCs w:val="24"/>
        </w:rPr>
        <w:t xml:space="preserve">6.2	How external issues are determined</w:t>
      </w:r>
    </w:p>
    <w:p>
      <w:pPr>
        <w:spacing w:before="120" w:after="240"/>
        <w:jc w:val="both"/>
        <w:rPr>
          <w:rFonts w:ascii="Arial" w:hAnsi="Arial" w:cs="Arial"/>
          <w:sz w:val="22"/>
          <w:szCs w:val="22"/>
        </w:rPr>
      </w:pPr>
      <w:r>
        <w:rPr>
          <w:rFonts w:ascii="Arial" w:hAnsi="Arial" w:cs="Arial"/>
          <w:sz w:val="22"/>
          <w:szCs w:val="22"/>
        </w:rPr>
        <w:t xml:space="preserve">External issues are gathered on CF 4.1.2 PESTLE Analysis Form under six headings. The following sources are used and the source is recorded against each issue so that the entry can be verified at audit: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468"/>
        <w:gridCol w:w="5452"/>
        <w:gridCol w:w="3565"/>
      </w:tblGrid>
      <w:tr>
        <w:trPr>
          <w:tblHeader/>
          <w:cantSplit/>
        </w:trPr>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PESTLE heading</w:t>
            </w:r>
          </w:p>
        </w:tc>
        <w:tc>
          <w:tcPr>
            <w:tcW w:w="545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Typical issues for a food contact packaging manufacturer</w:t>
            </w:r>
          </w:p>
        </w:tc>
        <w:tc>
          <w:tcPr>
            <w:tcW w:w="356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Sources used</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Political</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Trade policy and tariffs on polymer and board; packaging taxes; extended producer responsibility schemes; single-use plastics restrictions; political stability in the countries of the ink, film and board supply chain</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Trade association bulletins; customer commercial reviews; government consultations</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Economic</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Polymer, board, ink, solvent, aluminium and energy price movements; exchange rate on imported film and ink; customer consolidation and price pressure; cost of capital for press investment; labour availability and wage inflation</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Purchasing price indices; supplier notifications; monthly management accounts</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Social</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Consumer demand for recyclable and mono-material structures; brand owner sustainability pledges; demand for smaller pack formats; local skills availability for print and pre-press; demographic change in the labour market</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Brand owner sustainability reports; recruitment data; industry press</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Technological</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Low-migration ink and electron beam curing developments; digital printing; solventless lamination; mono-material PE and PP laminates; barrier coatings replacing foil; inline vision inspection and spectrophotometric colour control; obsolescence of the existing press control systems</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Equipment and ink supplier roadmaps; trade exhibitions; technical literature</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Legal</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Regulation (EC) 1935/2004 and Regulation (EU) 10/2011 and their amendments; Regulation (EC) 2023/2006 good manufacturing practice; national measures on printing inks (for example the Swiss Ordinance and the German printing ink ordinance); recycled content rules; food information to consumers; product liability; competition law and anti-bribery law bearing on ethical behaviour under clause 5.1.1</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CF 7.5.4 legal requirements register; subscription legal update service; customer specifications</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Environmental and climate</w:t>
            </w:r>
          </w:p>
        </w:tc>
        <w:tc>
          <w:tcPr>
            <w:tcW w:w="5452" w:type="dxa"/>
            <w:vAlign w:val="center"/>
          </w:tcPr>
          <w:p>
            <w:pPr>
              <w:spacing w:before="30" w:after="30"/>
              <w:jc w:val="left"/>
              <w:rPr>
                <w:rFonts w:ascii="Arial" w:hAnsi="Arial" w:cs="Arial"/>
                <w:sz w:val="20"/>
                <w:szCs w:val="20"/>
              </w:rPr>
            </w:pPr>
            <w:r>
              <w:rPr>
                <w:rFonts w:ascii="Arial" w:hAnsi="Arial" w:cs="Arial"/>
                <w:sz w:val="20"/>
                <w:szCs w:val="20"/>
              </w:rPr>
              <w:t xml:space="preserve">Water availability and abstraction limits for the wash-up and cooling systems; energy supply reliability and cost for the dryers, UV lamps and curing rooms; solvent emission limits and regenerative thermal oxidiser performance; flood and heat risk at the site and at key suppliers; waste and recyclate markets</w:t>
            </w:r>
          </w:p>
        </w:tc>
        <w:tc>
          <w:tcPr>
            <w:tcW w:w="3565" w:type="dxa"/>
            <w:vAlign w:val="center"/>
          </w:tcPr>
          <w:p>
            <w:pPr>
              <w:spacing w:before="30" w:after="30"/>
              <w:jc w:val="left"/>
              <w:rPr>
                <w:rFonts w:ascii="Arial" w:hAnsi="Arial" w:cs="Arial"/>
                <w:sz w:val="20"/>
                <w:szCs w:val="20"/>
              </w:rPr>
            </w:pPr>
            <w:r>
              <w:rPr>
                <w:rFonts w:ascii="Arial" w:hAnsi="Arial" w:cs="Arial"/>
                <w:sz w:val="20"/>
                <w:szCs w:val="20"/>
              </w:rPr>
              <w:t xml:space="preserve">CF 4.1.3 Climate Change Relevance Determination; utility supplier notices; insurer surveys</w:t>
            </w:r>
          </w:p>
        </w:tc>
      </w:tr>
    </w:tbl>
    <w:p>
      <w:pPr>
        <w:spacing w:before="0" w:after="120"/>
      </w:pPr>
    </w:p>
    <w:p>
      <w:pPr>
        <w:pStyle w:val="Heading"/>
      </w:pPr>
      <w:r>
        <w:rPr>
          <w:rFonts w:ascii="Arial" w:hAnsi="Arial" w:cs="Arial"/>
          <w:b/>
          <w:bCs/>
          <w:sz w:val="24"/>
          <w:szCs w:val="24"/>
        </w:rPr>
        <w:t xml:space="preserve">6.3	How internal issues are determined</w:t>
      </w:r>
    </w:p>
    <w:p>
      <w:pPr>
        <w:spacing w:before="120" w:after="240"/>
        <w:jc w:val="both"/>
        <w:rPr>
          <w:rFonts w:ascii="Arial" w:hAnsi="Arial" w:cs="Arial"/>
          <w:sz w:val="22"/>
          <w:szCs w:val="22"/>
        </w:rPr>
      </w:pPr>
      <w:r>
        <w:rPr>
          <w:rFonts w:ascii="Arial" w:hAnsi="Arial" w:cs="Arial"/>
          <w:sz w:val="22"/>
          <w:szCs w:val="22"/>
        </w:rPr>
        <w:t xml:space="preserve">Internal issues are gathered on CF 4.1.1 SWOT Analysis Form. The QMR draws the evidence from the QMS itself rather than from opinion, so that each strength or weakness can be traced to a record: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936"/>
        <w:gridCol w:w="7549"/>
      </w:tblGrid>
      <w:tr>
        <w:trPr>
          <w:tblHeader/>
          <w:cantSplit/>
        </w:trPr>
        <w:tc>
          <w:tcPr>
            <w:tcW w:w="293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Internal issue area</w:t>
            </w:r>
          </w:p>
        </w:tc>
        <w:tc>
          <w:tcPr>
            <w:tcW w:w="754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Evidence used to determine the issue</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Process capability and equipment condition</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Cp and Cpk from CF 14.2 capability studies; press downtime and waste from the production reporting; CF 19.1 maintenance backlog; age and spares availability of the press control systems</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Product and process knowledge</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CF 7.1.4 Organizational Knowledge Register, in particular knowledge held by a single person (ink formulation, colour matching, adhesive selection, die design)</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Competence and resourcing</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CF 7.2.1 Training Needs Analysis; CF 7.2.6 Training and Task Authorisation Matrix coverage per shift; vacancy and turnover data from HR</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Quality performance</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CF 9.1.1 Quality KPI Dashboard: right-first-time, waste, on-time in-full, complaint rate per million units, cost of poor quality on CF 20.1, internal and external audit findings</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Customer standing</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CF 9.1.3 customer satisfaction results; customer scorecards; complaint trend on CF 9.1.5; volume trend by customer</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Culture and ethical behaviour</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CF 3.1.1 Quality Culture Survey results and the culture plan CF 3.1.2; record falsification or near-miss reports; speak-up reports under POL 02</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Financial and commercial</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Margin by product group; cost of poor quality; capital available for press and tooling investment</w:t>
            </w:r>
          </w:p>
        </w:tc>
      </w:tr>
      <w:tr>
        <w:tc>
          <w:tcPr>
            <w:tcW w:w="2936" w:type="dxa"/>
            <w:vAlign w:val="center"/>
          </w:tcPr>
          <w:p>
            <w:pPr>
              <w:spacing w:before="30" w:after="30"/>
              <w:jc w:val="left"/>
              <w:rPr>
                <w:rFonts w:ascii="Arial" w:hAnsi="Arial" w:cs="Arial"/>
                <w:sz w:val="20"/>
                <w:szCs w:val="20"/>
              </w:rPr>
            </w:pPr>
            <w:r>
              <w:rPr>
                <w:rFonts w:ascii="Arial" w:hAnsi="Arial" w:cs="Arial"/>
                <w:sz w:val="20"/>
                <w:szCs w:val="20"/>
              </w:rPr>
              <w:t xml:space="preserve">Organizational structure</w:t>
            </w:r>
          </w:p>
        </w:tc>
        <w:tc>
          <w:tcPr>
            <w:tcW w:w="7549" w:type="dxa"/>
            <w:vAlign w:val="center"/>
          </w:tcPr>
          <w:p>
            <w:pPr>
              <w:spacing w:before="30" w:after="30"/>
              <w:jc w:val="left"/>
              <w:rPr>
                <w:rFonts w:ascii="Arial" w:hAnsi="Arial" w:cs="Arial"/>
                <w:sz w:val="20"/>
                <w:szCs w:val="20"/>
              </w:rPr>
            </w:pPr>
            <w:r>
              <w:rPr>
                <w:rFonts w:ascii="Arial" w:hAnsi="Arial" w:cs="Arial"/>
                <w:sz w:val="20"/>
                <w:szCs w:val="20"/>
              </w:rPr>
              <w:t xml:space="preserve">CF 5.3.4 Organisation Structure and Reporting Lines; span of control on night shift; clarity of the authority to stop the line and to release product</w:t>
            </w:r>
          </w:p>
        </w:tc>
      </w:tr>
    </w:tbl>
    <w:p>
      <w:pPr>
        <w:spacing w:before="0" w:after="120"/>
      </w:pPr>
    </w:p>
    <w:p>
      <w:pPr>
        <w:pStyle w:val="Heading"/>
      </w:pPr>
      <w:r>
        <w:rPr>
          <w:rFonts w:ascii="Arial" w:hAnsi="Arial" w:cs="Arial"/>
          <w:b/>
          <w:bCs/>
          <w:sz w:val="24"/>
          <w:szCs w:val="24"/>
        </w:rPr>
        <w:t xml:space="preserve">6.4	Determining whether climate change is a relevant issue (clause 4.1)</w:t>
      </w:r>
    </w:p>
    <w:p>
      <w:pPr>
        <w:spacing w:before="120" w:after="240"/>
        <w:jc w:val="both"/>
        <w:rPr>
          <w:rFonts w:ascii="Arial" w:hAnsi="Arial" w:cs="Arial"/>
          <w:sz w:val="22"/>
          <w:szCs w:val="22"/>
        </w:rPr>
      </w:pPr>
      <w:r>
        <w:rPr>
          <w:rFonts w:ascii="Arial" w:hAnsi="Arial" w:cs="Arial"/>
          <w:sz w:val="22"/>
          <w:szCs w:val="22"/>
        </w:rPr>
        <w:t xml:space="preserve">ISO 9001:2026 requires the organization to determine whether climate change is a relevant issue. The determination is made and recorded on CF 4.1.3 and is re-made annually. The determination is a genuine test, not a statement: each of the pathways below is examined and answered yes or no with a reason and with the evidence considered. Where the answer is yes, the issue is carried into CF 6.1.1 Risk Register or CF 6.1.2 Opportunity Register and into RA 4.1.</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468"/>
        <w:gridCol w:w="2726"/>
        <w:gridCol w:w="6291"/>
      </w:tblGrid>
      <w:tr>
        <w:trPr>
          <w:tblHeader/>
          <w:cantSplit/>
        </w:trPr>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Pathway</w:t>
            </w:r>
          </w:p>
        </w:tc>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Question asked</w:t>
            </w:r>
          </w:p>
        </w:tc>
        <w:tc>
          <w:tcPr>
            <w:tcW w:w="629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Worked answer for this site</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Physical - site</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Can a climate-driven physical event stop the site from producing conforming packaging?</w:t>
            </w:r>
          </w:p>
        </w:tc>
        <w:tc>
          <w:tcPr>
            <w:tcW w:w="6291" w:type="dxa"/>
            <w:vAlign w:val="center"/>
          </w:tcPr>
          <w:p>
            <w:pPr>
              <w:spacing w:before="30" w:after="30"/>
              <w:jc w:val="left"/>
              <w:rPr>
                <w:rFonts w:ascii="Arial" w:hAnsi="Arial" w:cs="Arial"/>
                <w:sz w:val="20"/>
                <w:szCs w:val="20"/>
              </w:rPr>
            </w:pPr>
            <w:r>
              <w:rPr>
                <w:rFonts w:ascii="Arial" w:hAnsi="Arial" w:cs="Arial"/>
                <w:sz w:val="20"/>
                <w:szCs w:val="20"/>
              </w:rPr>
              <w:t xml:space="preserve">Yes. Sustained ambient temperatures above 32 degrees C destabilise the curing room control and lengthen the 72 hour cure validated for Line A; heat also raises the risk of blocking in stored reels and of web instability on the offset press. The site is not in a mapped flood plain but the raw material store roof drainage was identified as a weakness at the last insurer survey. Carried to RA 4.1 as CX-04 and CX-05.</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Physical - supply chain</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Can a climate-driven event interrupt a critical input?</w:t>
            </w:r>
          </w:p>
        </w:tc>
        <w:tc>
          <w:tcPr>
            <w:tcW w:w="6291" w:type="dxa"/>
            <w:vAlign w:val="center"/>
          </w:tcPr>
          <w:p>
            <w:pPr>
              <w:spacing w:before="30" w:after="30"/>
              <w:jc w:val="left"/>
              <w:rPr>
                <w:rFonts w:ascii="Arial" w:hAnsi="Arial" w:cs="Arial"/>
                <w:sz w:val="20"/>
                <w:szCs w:val="20"/>
              </w:rPr>
            </w:pPr>
            <w:r>
              <w:rPr>
                <w:rFonts w:ascii="Arial" w:hAnsi="Arial" w:cs="Arial"/>
                <w:sz w:val="20"/>
                <w:szCs w:val="20"/>
              </w:rPr>
              <w:t xml:space="preserve">Yes. The solvent-based adhesive hardener and the barrier-coated boxboard are each single-sourced from one European plant. A flood, storm or water restriction at either plant would stop the affected line within 3 weeks of stock cover. Carried to RA 4.1 as CX-06 and to RA 8.4.</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Utilities and energy</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Is the process dependent on an energy or water supply exposed to climate policy or curtailment?</w:t>
            </w:r>
          </w:p>
        </w:tc>
        <w:tc>
          <w:tcPr>
            <w:tcW w:w="6291" w:type="dxa"/>
            <w:vAlign w:val="center"/>
          </w:tcPr>
          <w:p>
            <w:pPr>
              <w:spacing w:before="30" w:after="30"/>
              <w:jc w:val="left"/>
              <w:rPr>
                <w:rFonts w:ascii="Arial" w:hAnsi="Arial" w:cs="Arial"/>
                <w:sz w:val="20"/>
                <w:szCs w:val="20"/>
              </w:rPr>
            </w:pPr>
            <w:r>
              <w:rPr>
                <w:rFonts w:ascii="Arial" w:hAnsi="Arial" w:cs="Arial"/>
                <w:sz w:val="20"/>
                <w:szCs w:val="20"/>
              </w:rPr>
              <w:t xml:space="preserve">Yes. Gravure drying, the regenerative thermal oxidiser, the UV lamps and the curing room are energy intensive; wash-up and cooling are water dependent. Curtailment or a tariff step change affects both cost and the ability to hold validated process parameters. Carried to RA 4.1 as CX-07.</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Regulatory transition</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Do climate-related regulations change the product or the process?</w:t>
            </w:r>
          </w:p>
        </w:tc>
        <w:tc>
          <w:tcPr>
            <w:tcW w:w="6291" w:type="dxa"/>
            <w:vAlign w:val="center"/>
          </w:tcPr>
          <w:p>
            <w:pPr>
              <w:spacing w:before="30" w:after="30"/>
              <w:jc w:val="left"/>
              <w:rPr>
                <w:rFonts w:ascii="Arial" w:hAnsi="Arial" w:cs="Arial"/>
                <w:sz w:val="20"/>
                <w:szCs w:val="20"/>
              </w:rPr>
            </w:pPr>
            <w:r>
              <w:rPr>
                <w:rFonts w:ascii="Arial" w:hAnsi="Arial" w:cs="Arial"/>
                <w:sz w:val="20"/>
                <w:szCs w:val="20"/>
              </w:rPr>
              <w:t xml:space="preserve">Yes. Packaging taxes, extended producer responsibility fees and recycled content targets are changing the structures customers ask for, which drives the design and development workload under PRO 8.3 and the qualification of recycled and mono-material inputs. Carried to CF 6.1.2 as an opportunity, OPP-03.</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Customer and market expectation</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Do customers impose climate-related requirements that the QMS must satisfy?</w:t>
            </w:r>
          </w:p>
        </w:tc>
        <w:tc>
          <w:tcPr>
            <w:tcW w:w="6291" w:type="dxa"/>
            <w:vAlign w:val="center"/>
          </w:tcPr>
          <w:p>
            <w:pPr>
              <w:spacing w:before="30" w:after="30"/>
              <w:jc w:val="left"/>
              <w:rPr>
                <w:rFonts w:ascii="Arial" w:hAnsi="Arial" w:cs="Arial"/>
                <w:sz w:val="20"/>
                <w:szCs w:val="20"/>
              </w:rPr>
            </w:pPr>
            <w:r>
              <w:rPr>
                <w:rFonts w:ascii="Arial" w:hAnsi="Arial" w:cs="Arial"/>
                <w:sz w:val="20"/>
                <w:szCs w:val="20"/>
              </w:rPr>
              <w:t xml:space="preserve">Yes. Brand owner specifications increasingly require declared recycled content, recyclability assessment and carbon data with the Declaration of Compliance pack. These are customer requirements under clause 8.2 and are captured on CF 16.1 Customer Specific Requirements Register.</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Workforce</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Does a climate factor affect the ability of people to work to the required standard?</w:t>
            </w:r>
          </w:p>
        </w:tc>
        <w:tc>
          <w:tcPr>
            <w:tcW w:w="6291" w:type="dxa"/>
            <w:vAlign w:val="center"/>
          </w:tcPr>
          <w:p>
            <w:pPr>
              <w:spacing w:before="30" w:after="30"/>
              <w:jc w:val="left"/>
              <w:rPr>
                <w:rFonts w:ascii="Arial" w:hAnsi="Arial" w:cs="Arial"/>
                <w:sz w:val="20"/>
                <w:szCs w:val="20"/>
              </w:rPr>
            </w:pPr>
            <w:r>
              <w:rPr>
                <w:rFonts w:ascii="Arial" w:hAnsi="Arial" w:cs="Arial"/>
                <w:sz w:val="20"/>
                <w:szCs w:val="20"/>
              </w:rPr>
              <w:t xml:space="preserve">Partly. Heat in the press hall above 30 degrees C measurably reduces the reliability of visual first-off checks and increases short-term absence. Managed as a work environment issue under clause 7.1.4 and recorded on CF 7.1.2.</w:t>
            </w:r>
          </w:p>
        </w:tc>
      </w:tr>
    </w:tbl>
    <w:p>
      <w:pPr>
        <w:spacing w:before="0" w:after="120"/>
      </w:pPr>
    </w:p>
    <w:p>
      <w:pPr>
        <w:spacing w:before="120" w:after="240"/>
        <w:jc w:val="both"/>
        <w:rPr>
          <w:rFonts w:ascii="Arial" w:hAnsi="Arial" w:cs="Arial"/>
          <w:sz w:val="22"/>
          <w:szCs w:val="22"/>
        </w:rPr>
      </w:pPr>
      <w:r>
        <w:rPr>
          <w:rFonts w:ascii="Arial" w:hAnsi="Arial" w:cs="Arial"/>
          <w:sz w:val="22"/>
          <w:szCs w:val="22"/>
        </w:rPr>
        <w:t xml:space="preserve">Where every pathway is answered no, that conclusion is equally valid and is recorded with the reasoning on CF 4.1.3; the organization is not required to manufacture a climate risk that does not exist. What is not acceptable is leaving the question unanswered.</w:t>
      </w:r>
    </w:p>
    <w:p>
      <w:pPr>
        <w:pStyle w:val="Heading"/>
      </w:pPr>
      <w:r>
        <w:rPr>
          <w:rFonts w:ascii="Arial" w:hAnsi="Arial" w:cs="Arial"/>
          <w:b/>
          <w:bCs/>
          <w:sz w:val="24"/>
          <w:szCs w:val="24"/>
        </w:rPr>
        <w:t xml:space="preserve">6.5	From issue to risk, opportunity and action</w:t>
      </w:r>
    </w:p>
    <w:p>
      <w:pPr>
        <w:spacing w:before="120" w:after="240"/>
        <w:jc w:val="both"/>
        <w:rPr>
          <w:rFonts w:ascii="Arial" w:hAnsi="Arial" w:cs="Arial"/>
          <w:sz w:val="22"/>
          <w:szCs w:val="22"/>
        </w:rPr>
      </w:pPr>
      <w:r>
        <w:rPr>
          <w:rFonts w:ascii="Arial" w:hAnsi="Arial" w:cs="Arial"/>
          <w:sz w:val="22"/>
          <w:szCs w:val="22"/>
        </w:rPr>
        <w:t xml:space="preserve">An issue on CF 4.1.1 or CF 4.1.2 is not an output in itself. Every issue marked relevant is carried forward in one of three ways, and the QMR confirms the carry-forward before the management review pack is issued: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1468"/>
        <w:gridCol w:w="5033"/>
        <w:gridCol w:w="3984"/>
      </w:tblGrid>
      <w:tr>
        <w:trPr>
          <w:tblHeader/>
          <w:cantSplit/>
        </w:trPr>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Route</w:t>
            </w:r>
          </w:p>
        </w:tc>
        <w:tc>
          <w:tcPr>
            <w:tcW w:w="503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When used</w:t>
            </w:r>
          </w:p>
        </w:tc>
        <w:tc>
          <w:tcPr>
            <w:tcW w:w="398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Destination record</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Risk</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issue could prevent the QMS achieving its intended results or could cause nonconforming packaging, a late delivery or a lost certification</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RA 4.1 Context Risk Assessment and CF 6.1.1 Risk Register, under PRO 6.1</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Opportunity</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issue could improve performance, win work, reduce cost of poor quality or raise customer satisfaction</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CF 6.1.2 Opportunity Register, under PRO 6.1</w:t>
            </w:r>
          </w:p>
        </w:tc>
      </w:tr>
      <w:tr>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Scope or process change</w:t>
            </w:r>
          </w:p>
        </w:tc>
        <w:tc>
          <w:tcPr>
            <w:tcW w:w="5033" w:type="dxa"/>
            <w:vAlign w:val="center"/>
          </w:tcPr>
          <w:p>
            <w:pPr>
              <w:spacing w:before="30" w:after="30"/>
              <w:jc w:val="left"/>
              <w:rPr>
                <w:rFonts w:ascii="Arial" w:hAnsi="Arial" w:cs="Arial"/>
                <w:sz w:val="20"/>
                <w:szCs w:val="20"/>
              </w:rPr>
            </w:pPr>
            <w:r>
              <w:rPr>
                <w:rFonts w:ascii="Arial" w:hAnsi="Arial" w:cs="Arial"/>
                <w:sz w:val="20"/>
                <w:szCs w:val="20"/>
              </w:rPr>
              <w:t xml:space="preserve">The issue changes what the QMS must cover, or changes a process, its sequence or its interaction</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CF 4.3.1 QMS Scope Statement and CF 4.4.1 QMS Process Map, with a change record on CF 6.3.1</w:t>
            </w:r>
          </w:p>
        </w:tc>
      </w:tr>
    </w:tbl>
    <w:p>
      <w:pPr>
        <w:spacing w:before="0" w:after="120"/>
      </w:pPr>
    </w:p>
    <w:p>
      <w:pPr>
        <w:pStyle w:val="Heading"/>
      </w:pPr>
      <w:r>
        <w:rPr>
          <w:rFonts w:ascii="Arial" w:hAnsi="Arial" w:cs="Arial"/>
          <w:b/>
          <w:bCs/>
          <w:sz w:val="24"/>
          <w:szCs w:val="24"/>
        </w:rPr>
        <w:t xml:space="preserve">6.6	Monitoring and review of the information about context</w:t>
      </w:r>
    </w:p>
    <w:p>
      <w:pPr>
        <w:spacing w:before="120" w:after="240"/>
        <w:jc w:val="both"/>
        <w:rPr>
          <w:rFonts w:ascii="Arial" w:hAnsi="Arial" w:cs="Arial"/>
          <w:sz w:val="22"/>
          <w:szCs w:val="22"/>
        </w:rPr>
      </w:pPr>
      <w:r>
        <w:rPr>
          <w:rFonts w:ascii="Arial" w:hAnsi="Arial" w:cs="Arial"/>
          <w:sz w:val="22"/>
          <w:szCs w:val="22"/>
        </w:rPr>
        <w:t xml:space="preserve">Clause 4.1 requires the organization to monitor and review information about these external and internal issues. Monitoring is a standing item, not an annual event: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The QMR maintains CF 4.1.1 and CF 4.1.2 as live documents and dates every change.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Each management team meeting includes a standing agenda item 'changes in our context', minuted even when the answer is 'no change'.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The legal and customer requirements register CF 7.5.4 is reviewed at least quarterly by the Quality Manager; any change is tested against the context.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Supplier notifications of reformulation, discontinuation or plant change are logged by the Procurement Manager and passed to the QMR within 5 working days.</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Management review (PRO 9.3) formally reviews the context as input 9.3.2 a) and records whether the context has changed and what the QMS must do differently as a result.</w:t>
      </w:r>
    </w:p>
    <w:p>
      <w:pPr>
        <w:pStyle w:val="Heading"/>
      </w:pPr>
      <w:r>
        <w:rPr>
          <w:rFonts w:ascii="Arial" w:hAnsi="Arial" w:cs="Arial"/>
          <w:b/>
          <w:bCs/>
          <w:sz w:val="24"/>
          <w:szCs w:val="24"/>
        </w:rPr>
        <w:t xml:space="preserve">7.	MONITORING AND VERIFICATION</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726"/>
        <w:gridCol w:w="3146"/>
        <w:gridCol w:w="1678"/>
        <w:gridCol w:w="1468"/>
        <w:gridCol w:w="1467"/>
      </w:tblGrid>
      <w:tr>
        <w:trPr>
          <w:tblHeader/>
          <w:cantSplit/>
        </w:trPr>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What is verified</w:t>
            </w:r>
          </w:p>
        </w:tc>
        <w:tc>
          <w:tcPr>
            <w:tcW w:w="314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How</w:t>
            </w:r>
          </w:p>
        </w:tc>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Frequency</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By whom</w:t>
            </w:r>
          </w:p>
        </w:tc>
        <w:tc>
          <w:tcPr>
            <w:tcW w:w="146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Every relevant issue has been carried to a risk, an opportunity or a change</w:t>
            </w:r>
          </w:p>
        </w:tc>
        <w:tc>
          <w:tcPr>
            <w:tcW w:w="3146" w:type="dxa"/>
            <w:vAlign w:val="center"/>
          </w:tcPr>
          <w:p>
            <w:pPr>
              <w:spacing w:before="30" w:after="30"/>
              <w:jc w:val="left"/>
              <w:rPr>
                <w:rFonts w:ascii="Arial" w:hAnsi="Arial" w:cs="Arial"/>
                <w:sz w:val="20"/>
                <w:szCs w:val="20"/>
              </w:rPr>
            </w:pPr>
            <w:r>
              <w:rPr>
                <w:rFonts w:ascii="Arial" w:hAnsi="Arial" w:cs="Arial"/>
                <w:sz w:val="20"/>
                <w:szCs w:val="20"/>
              </w:rPr>
              <w:t xml:space="preserve">Trace each issue on CF 4.1.1 and CF 4.1.2 to its destination record</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Annually and before each management review</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4.1.1; CF 4.1.2; RA 4.1</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The climate change relevance determination has been made and is current</w:t>
            </w:r>
          </w:p>
        </w:tc>
        <w:tc>
          <w:tcPr>
            <w:tcW w:w="3146" w:type="dxa"/>
            <w:vAlign w:val="center"/>
          </w:tcPr>
          <w:p>
            <w:pPr>
              <w:spacing w:before="30" w:after="30"/>
              <w:jc w:val="left"/>
              <w:rPr>
                <w:rFonts w:ascii="Arial" w:hAnsi="Arial" w:cs="Arial"/>
                <w:sz w:val="20"/>
                <w:szCs w:val="20"/>
              </w:rPr>
            </w:pPr>
            <w:r>
              <w:rPr>
                <w:rFonts w:ascii="Arial" w:hAnsi="Arial" w:cs="Arial"/>
                <w:sz w:val="20"/>
                <w:szCs w:val="20"/>
              </w:rPr>
              <w:t xml:space="preserve">CF 4.1.3 completed, dated and signed within the last 12 months</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Annually</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4.1.3</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Context issues are evidenced, not asserted</w:t>
            </w:r>
          </w:p>
        </w:tc>
        <w:tc>
          <w:tcPr>
            <w:tcW w:w="3146" w:type="dxa"/>
            <w:vAlign w:val="center"/>
          </w:tcPr>
          <w:p>
            <w:pPr>
              <w:spacing w:before="30" w:after="30"/>
              <w:jc w:val="left"/>
              <w:rPr>
                <w:rFonts w:ascii="Arial" w:hAnsi="Arial" w:cs="Arial"/>
                <w:sz w:val="20"/>
                <w:szCs w:val="20"/>
              </w:rPr>
            </w:pPr>
            <w:r>
              <w:rPr>
                <w:rFonts w:ascii="Arial" w:hAnsi="Arial" w:cs="Arial"/>
                <w:sz w:val="20"/>
                <w:szCs w:val="20"/>
              </w:rPr>
              <w:t xml:space="preserve">Sample five issues and confirm the source recorded against each one exists</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Annual internal audit of clause 4</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Internal Auditor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9.2.3</w:t>
            </w:r>
          </w:p>
        </w:tc>
      </w:tr>
      <w:tr>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The context review actually changed something</w:t>
            </w:r>
          </w:p>
        </w:tc>
        <w:tc>
          <w:tcPr>
            <w:tcW w:w="3146" w:type="dxa"/>
            <w:vAlign w:val="center"/>
          </w:tcPr>
          <w:p>
            <w:pPr>
              <w:spacing w:before="30" w:after="30"/>
              <w:jc w:val="left"/>
              <w:rPr>
                <w:rFonts w:ascii="Arial" w:hAnsi="Arial" w:cs="Arial"/>
                <w:sz w:val="20"/>
                <w:szCs w:val="20"/>
              </w:rPr>
            </w:pPr>
            <w:r>
              <w:rPr>
                <w:rFonts w:ascii="Arial" w:hAnsi="Arial" w:cs="Arial"/>
                <w:sz w:val="20"/>
                <w:szCs w:val="20"/>
              </w:rPr>
              <w:t xml:space="preserve">Confirm at least one QMS change, objective, risk or action in the period traces back to a context issue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Annually</w:t>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Internal Auditor</w:t>
            </w:r>
          </w:p>
        </w:tc>
        <w:tc>
          <w:tcPr>
            <w:tcW w:w="1467" w:type="dxa"/>
            <w:vAlign w:val="center"/>
          </w:tcPr>
          <w:p>
            <w:pPr>
              <w:spacing w:before="30" w:after="30"/>
              <w:jc w:val="left"/>
              <w:rPr>
                <w:rFonts w:ascii="Arial" w:hAnsi="Arial" w:cs="Arial"/>
                <w:sz w:val="20"/>
                <w:szCs w:val="20"/>
              </w:rPr>
            </w:pPr>
            <w:r>
              <w:rPr>
                <w:rFonts w:ascii="Arial" w:hAnsi="Arial" w:cs="Arial"/>
                <w:sz w:val="20"/>
                <w:szCs w:val="20"/>
              </w:rPr>
              <w:t xml:space="preserve">CF 9.2.3; CF 9.3.2</w:t>
            </w:r>
          </w:p>
        </w:tc>
      </w:tr>
    </w:tbl>
    <w:p>
      <w:pPr>
        <w:spacing w:before="0" w:after="120"/>
      </w:pPr>
    </w:p>
    <w:p>
      <w:pPr>
        <w:pStyle w:val="Heading"/>
      </w:pPr>
      <w:r>
        <w:rPr>
          <w:rFonts w:ascii="Arial" w:hAnsi="Arial" w:cs="Arial"/>
          <w:b/>
          <w:bCs/>
          <w:sz w:val="24"/>
          <w:szCs w:val="24"/>
        </w:rPr>
        <w:t xml:space="preserve">8.	RECORDS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5242"/>
        <w:gridCol w:w="2621"/>
        <w:gridCol w:w="2622"/>
      </w:tblGrid>
      <w:tr>
        <w:trPr>
          <w:tblHeader/>
          <w:cantSplit/>
        </w:trPr>
        <w:tc>
          <w:tcPr>
            <w:tcW w:w="524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c>
          <w:tcPr>
            <w:tcW w:w="262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Owner</w:t>
            </w:r>
          </w:p>
        </w:tc>
        <w:tc>
          <w:tcPr>
            <w:tcW w:w="26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Retention</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4.1.1 SWOT Analysis Form</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4.1.2 PESTLE Analysis Form</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CF 4.1.3 Climate Change Relevance Determination</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RA 4.1 Context Risk Assessment (Excel)</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r>
        <w:tc>
          <w:tcPr>
            <w:tcW w:w="5242" w:type="dxa"/>
            <w:vAlign w:val="center"/>
          </w:tcPr>
          <w:p>
            <w:pPr>
              <w:spacing w:before="30" w:after="30"/>
              <w:jc w:val="left"/>
              <w:rPr>
                <w:rFonts w:ascii="Arial" w:hAnsi="Arial" w:cs="Arial"/>
                <w:sz w:val="20"/>
                <w:szCs w:val="20"/>
              </w:rPr>
            </w:pPr>
            <w:r>
              <w:rPr>
                <w:rFonts w:ascii="Arial" w:hAnsi="Arial" w:cs="Arial"/>
                <w:sz w:val="20"/>
                <w:szCs w:val="20"/>
              </w:rPr>
              <w:t xml:space="preserve">Management review minutes recording the context review (CF 9.3.2)</w:t>
            </w:r>
          </w:p>
        </w:tc>
        <w:tc>
          <w:tcPr>
            <w:tcW w:w="2621" w:type="dxa"/>
            <w:vAlign w:val="center"/>
          </w:tcPr>
          <w:p>
            <w:pPr>
              <w:spacing w:before="30" w:after="30"/>
              <w:jc w:val="left"/>
              <w:rPr>
                <w:rFonts w:ascii="Arial" w:hAnsi="Arial" w:cs="Arial"/>
                <w:sz w:val="20"/>
                <w:szCs w:val="20"/>
              </w:rPr>
            </w:pPr>
            <w:r>
              <w:rPr>
                <w:rFonts w:ascii="Arial" w:hAnsi="Arial" w:cs="Arial"/>
                <w:sz w:val="20"/>
                <w:szCs w:val="20"/>
              </w:rPr>
              <w:t xml:space="preserve">QMR</w:t>
            </w:r>
          </w:p>
        </w:tc>
        <w:tc>
          <w:tcPr>
            <w:tcW w:w="2622" w:type="dxa"/>
            <w:vAlign w:val="center"/>
          </w:tcPr>
          <w:p>
            <w:pPr>
              <w:spacing w:before="30" w:after="30"/>
              <w:jc w:val="left"/>
              <w:rPr>
                <w:rFonts w:ascii="Arial" w:hAnsi="Arial" w:cs="Arial"/>
                <w:sz w:val="20"/>
                <w:szCs w:val="20"/>
              </w:rPr>
            </w:pPr>
            <w:r>
              <w:rPr>
                <w:rFonts w:ascii="Arial" w:hAnsi="Arial" w:cs="Arial"/>
                <w:sz w:val="20"/>
                <w:szCs w:val="20"/>
              </w:rPr>
              <w:t xml:space="preserve">As CF 7.5.5</w:t>
            </w:r>
          </w:p>
        </w:tc>
      </w:tr>
    </w:tbl>
    <w:p>
      <w:pPr>
        <w:spacing w:before="0" w:after="120"/>
      </w:pPr>
    </w:p>
    <w:p>
      <w:pPr>
        <w:pStyle w:val="Heading"/>
      </w:pPr>
      <w:r>
        <w:rPr>
          <w:rFonts w:ascii="Arial" w:hAnsi="Arial" w:cs="Arial"/>
          <w:b/>
          <w:bCs/>
          <w:sz w:val="24"/>
          <w:szCs w:val="24"/>
        </w:rPr>
        <w:t xml:space="preserve">9.	REVISION HISTORY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629"/>
        <w:gridCol w:w="1258"/>
        <w:gridCol w:w="4823"/>
        <w:gridCol w:w="1887"/>
        <w:gridCol w:w="1888"/>
      </w:tblGrid>
      <w:tr>
        <w:trPr>
          <w:tblHeader/>
          <w:cantSplit/>
        </w:trPr>
        <w:tc>
          <w:tcPr>
            <w:tcW w:w="62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w:t>
            </w:r>
          </w:p>
        </w:tc>
        <w:tc>
          <w:tcPr>
            <w:tcW w:w="125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c>
          <w:tcPr>
            <w:tcW w:w="482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Description of Change</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Compiled by</w:t>
            </w:r>
          </w:p>
        </w:tc>
        <w:tc>
          <w:tcPr>
            <w:tcW w:w="188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00</w:t>
            </w:r>
          </w:p>
        </w:tc>
        <w:tc>
          <w:tcPr>
            <w:tcW w:w="1258" w:type="dxa"/>
            <w:vAlign w:val="center"/>
          </w:tcPr>
          <w:p>
            <w:pPr>
              <w:spacing w:before="30" w:after="30"/>
              <w:jc w:val="left"/>
              <w:rPr>
                <w:rFonts w:ascii="Arial" w:hAnsi="Arial" w:cs="Arial"/>
                <w:sz w:val="20"/>
                <w:szCs w:val="20"/>
              </w:rPr>
            </w:pPr>
            <w:r>
              <w:rPr>
                <w:rFonts w:ascii="Arial" w:hAnsi="Arial" w:cs="Arial"/>
                <w:sz w:val="20"/>
                <w:szCs w:val="20"/>
              </w:rPr>
              <w:t xml:space="preserve">01 Jul 2026</w:t>
            </w:r>
          </w:p>
        </w:tc>
        <w:tc>
          <w:tcPr>
            <w:tcW w:w="4823" w:type="dxa"/>
            <w:vAlign w:val="center"/>
          </w:tcPr>
          <w:p>
            <w:pPr>
              <w:spacing w:before="30" w:after="30"/>
              <w:jc w:val="left"/>
              <w:rPr>
                <w:rFonts w:ascii="Arial" w:hAnsi="Arial" w:cs="Arial"/>
                <w:sz w:val="20"/>
                <w:szCs w:val="20"/>
              </w:rPr>
            </w:pPr>
            <w:r>
              <w:rPr>
                <w:rFonts w:ascii="Arial" w:hAnsi="Arial" w:cs="Arial"/>
                <w:sz w:val="20"/>
                <w:szCs w:val="20"/>
              </w:rPr>
              <w:t xml:space="preserve">Initial issue aligned to ISO 9001:2026 for food contact packaging manufacturing</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188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01</w:t>
            </w:r>
          </w:p>
        </w:tc>
        <w:tc>
          <w:tcPr>
            <w:tcW w:w="1258"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823" w:type="dxa"/>
            <w:vAlign w:val="center"/>
          </w:tcPr>
          <w:p>
            <w:pPr>
              <w:spacing w:before="30" w:after="30"/>
              <w:jc w:val="left"/>
              <w:rPr>
                <w:rFonts w:ascii="Arial" w:hAnsi="Arial" w:cs="Arial"/>
                <w:sz w:val="20"/>
                <w:szCs w:val="20"/>
              </w:rPr>
            </w:pPr>
            <w:r>
              <w:rPr>
                <w:rFonts w:ascii="Arial" w:hAnsi="Arial" w:cs="Arial"/>
                <w:sz w:val="20"/>
                <w:szCs w:val="20"/>
              </w:rPr>
              <w:t xml:space="preserve">Issued into the ISO 9001:2026 Packaging Quality Toolkit with references, responsibilities and records sections complete</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188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bl>
    <w:p>
      <w:pPr>
        <w:spacing w:before="0" w:after="120"/>
      </w:pPr>
    </w:p>
    <w:p>
      <w:pPr>
        <w:pStyle w:val="Heading"/>
      </w:pPr>
      <w:r>
        <w:rPr>
          <w:rFonts w:ascii="Arial" w:hAnsi="Arial" w:cs="Arial"/>
          <w:b/>
          <w:bCs/>
          <w:sz w:val="24"/>
          <w:szCs w:val="24"/>
        </w:rPr>
        <w:t xml:space="preserve">10.	APPROVAL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4194"/>
        <w:gridCol w:w="2516"/>
        <w:gridCol w:w="2307"/>
        <w:gridCol w:w="1468"/>
      </w:tblGrid>
      <w:tr>
        <w:trPr>
          <w:tblHeader/>
          <w:cantSplit/>
        </w:trPr>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Prepared by - ASC Food Safety Consultants</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Reviewed by - Quality Manager (QMR)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Approved by - General Manager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sectPr w:rsidR="0047338B" w:rsidRPr="00996343" w:rsidSect="003A7945">
      <w:headerReference w:type="default" r:id="rId8"/>
      <w:type w:val="continuous"/>
      <w:pgSz w:w="11907" w:h="16840" w:code="9"/>
      <w:pgMar w:top="567" w:right="567" w:bottom="567" w:left="567"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828"/>
      <w:gridCol w:w="2835"/>
      <w:gridCol w:w="1559"/>
    </w:tblGrid>
    <w:tr w:rsidR="00871814" w:rsidRPr="00871814" w14:paraId="02C9E39E" w14:textId="77777777" w:rsidTr="009F616E">
      <w:trPr>
        <w:cantSplit/>
        <w:trHeight w:hRule="atLeast" w:val="1077"/>
      </w:trPr>
      <w:tc>
        <w:tcPr>
          <w:tcW w:w="2263"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38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2835"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PRO 4.1</w:t>
          </w:r>
          <w:r w:rsidRPr="00871814">
            <w:rPr>
              <w:rFonts w:ascii="Arial" w:hAnsi="Arial" w:cs="Arial"/>
              <w:sz w:val="22"/>
              <w:szCs w:val="22"/>
            </w:rPr>
          </w:r>
          <w:r>
            <w:rPr>
              <w:rFonts w:ascii="Arial" w:hAnsi="Arial" w:cs="Arial"/>
              <w:sz w:val="22"/>
              <w:szCs w:val="22"/>
            </w:rPr>
          </w:r>
        </w:p>
      </w:tc>
      <w:tc>
        <w:tcPr>
          <w:tcW w:w="1559"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0485"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Understanding the Organization and its Context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2263"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38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General Manager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2835"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1559"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